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微软雅黑" w:hAnsi="微软雅黑" w:eastAsia="微软雅黑"/>
          <w:b/>
          <w:bCs/>
          <w:sz w:val="36"/>
          <w:szCs w:val="36"/>
          <w:lang w:eastAsia="zh-CN"/>
        </w:rPr>
      </w:pPr>
    </w:p>
    <w:p>
      <w:pPr>
        <w:spacing w:line="360" w:lineRule="auto"/>
        <w:jc w:val="left"/>
        <w:rPr>
          <w:rFonts w:ascii="微软雅黑" w:hAnsi="微软雅黑" w:eastAsia="微软雅黑"/>
          <w:b/>
          <w:bCs/>
          <w:sz w:val="36"/>
          <w:szCs w:val="36"/>
        </w:rPr>
      </w:pPr>
    </w:p>
    <w:p>
      <w:pPr>
        <w:spacing w:line="360" w:lineRule="auto"/>
        <w:jc w:val="center"/>
        <w:rPr>
          <w:szCs w:val="28"/>
        </w:rPr>
      </w:pPr>
      <w:r>
        <w:rPr>
          <w:rFonts w:hint="eastAsia" w:ascii="微软雅黑" w:hAnsi="微软雅黑" w:eastAsia="微软雅黑"/>
          <w:b/>
          <w:bCs/>
          <w:sz w:val="36"/>
          <w:szCs w:val="36"/>
          <w:lang w:eastAsia="zh-CN"/>
        </w:rPr>
        <w:drawing>
          <wp:inline distT="0" distB="0" distL="114300" distR="114300">
            <wp:extent cx="3660775" cy="847090"/>
            <wp:effectExtent l="0" t="0" r="9525" b="0"/>
            <wp:docPr id="17" name="图片 17" descr="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绿"/>
                    <pic:cNvPicPr>
                      <a:picLocks noChangeAspect="1"/>
                    </pic:cNvPicPr>
                  </pic:nvPicPr>
                  <pic:blipFill>
                    <a:blip r:embed="rId6"/>
                    <a:stretch>
                      <a:fillRect/>
                    </a:stretch>
                  </pic:blipFill>
                  <pic:spPr>
                    <a:xfrm>
                      <a:off x="0" y="0"/>
                      <a:ext cx="3660775" cy="847090"/>
                    </a:xfrm>
                    <a:prstGeom prst="rect">
                      <a:avLst/>
                    </a:prstGeom>
                  </pic:spPr>
                </pic:pic>
              </a:graphicData>
            </a:graphic>
          </wp:inline>
        </w:drawing>
      </w:r>
    </w:p>
    <w:p>
      <w:pPr>
        <w:spacing w:line="360" w:lineRule="auto"/>
        <w:jc w:val="center"/>
        <w:rPr>
          <w:szCs w:val="28"/>
        </w:rPr>
      </w:pPr>
    </w:p>
    <w:p>
      <w:pPr>
        <w:spacing w:line="360" w:lineRule="auto"/>
        <w:rPr>
          <w:szCs w:val="28"/>
        </w:rPr>
      </w:pPr>
    </w:p>
    <w:p>
      <w:pPr>
        <w:spacing w:line="360" w:lineRule="auto"/>
        <w:rPr>
          <w:szCs w:val="28"/>
        </w:rPr>
      </w:pPr>
    </w:p>
    <w:p>
      <w:pPr>
        <w:spacing w:line="360" w:lineRule="auto"/>
        <w:rPr>
          <w:szCs w:val="28"/>
        </w:rPr>
      </w:pPr>
      <w:bookmarkStart w:id="36" w:name="_GoBack"/>
      <w:bookmarkEnd w:id="36"/>
    </w:p>
    <w:p>
      <w:pPr>
        <w:spacing w:line="360" w:lineRule="auto"/>
        <w:rPr>
          <w:szCs w:val="28"/>
        </w:rPr>
      </w:pPr>
    </w:p>
    <w:p>
      <w:pPr>
        <w:spacing w:line="360" w:lineRule="auto"/>
        <w:rPr>
          <w:szCs w:val="28"/>
        </w:rPr>
      </w:pPr>
    </w:p>
    <w:p>
      <w:pPr>
        <w:spacing w:line="360" w:lineRule="auto"/>
        <w:jc w:val="center"/>
        <w:rPr>
          <w:rFonts w:ascii="微软雅黑" w:hAnsi="微软雅黑" w:eastAsia="微软雅黑"/>
          <w:b/>
          <w:bCs/>
          <w:sz w:val="52"/>
          <w:szCs w:val="52"/>
        </w:rPr>
      </w:pPr>
      <w:r>
        <w:rPr>
          <w:rFonts w:hint="eastAsia" w:ascii="微软雅黑" w:hAnsi="微软雅黑" w:eastAsia="微软雅黑"/>
          <w:b/>
          <w:bCs/>
          <w:sz w:val="52"/>
          <w:szCs w:val="52"/>
        </w:rPr>
        <w:t>领航·印迹</w:t>
      </w:r>
    </w:p>
    <w:p>
      <w:pPr>
        <w:spacing w:line="360" w:lineRule="auto"/>
        <w:rPr>
          <w:szCs w:val="28"/>
        </w:rPr>
      </w:pPr>
    </w:p>
    <w:p>
      <w:pPr>
        <w:spacing w:line="360" w:lineRule="auto"/>
        <w:rPr>
          <w:szCs w:val="28"/>
        </w:rPr>
      </w:pPr>
    </w:p>
    <w:p>
      <w:pPr>
        <w:spacing w:line="360" w:lineRule="auto"/>
        <w:jc w:val="center"/>
        <w:rPr>
          <w:rFonts w:ascii="微软雅黑" w:hAnsi="微软雅黑" w:eastAsia="微软雅黑"/>
          <w:b/>
          <w:bCs/>
          <w:sz w:val="36"/>
          <w:szCs w:val="36"/>
        </w:rPr>
      </w:pPr>
      <w:r>
        <w:rPr>
          <w:rFonts w:hint="eastAsia" w:ascii="微软雅黑" w:hAnsi="微软雅黑" w:eastAsia="微软雅黑"/>
          <w:b/>
          <w:bCs/>
          <w:sz w:val="52"/>
          <w:szCs w:val="52"/>
        </w:rPr>
        <w:t>课程思政领航校建设成果选编</w:t>
      </w:r>
    </w:p>
    <w:p>
      <w:pPr>
        <w:spacing w:line="360" w:lineRule="auto"/>
        <w:jc w:val="center"/>
        <w:rPr>
          <w:rFonts w:ascii="微软雅黑" w:hAnsi="微软雅黑" w:eastAsia="微软雅黑"/>
          <w:b/>
          <w:bCs/>
          <w:sz w:val="36"/>
          <w:szCs w:val="36"/>
        </w:rPr>
      </w:pPr>
      <w:r>
        <w:rPr>
          <w:rFonts w:hint="eastAsia" w:ascii="微软雅黑" w:hAnsi="微软雅黑" w:eastAsia="微软雅黑"/>
          <w:b/>
          <w:bCs/>
          <w:sz w:val="36"/>
          <w:szCs w:val="36"/>
        </w:rPr>
        <w:t>（2019—2022）</w:t>
      </w:r>
    </w:p>
    <w:p>
      <w:pPr>
        <w:spacing w:line="360" w:lineRule="auto"/>
        <w:jc w:val="center"/>
        <w:rPr>
          <w:rFonts w:ascii="微软雅黑" w:hAnsi="微软雅黑" w:eastAsia="微软雅黑"/>
          <w:b/>
          <w:bCs/>
          <w:sz w:val="36"/>
          <w:szCs w:val="36"/>
        </w:rPr>
      </w:pPr>
    </w:p>
    <w:p>
      <w:pPr>
        <w:spacing w:line="360" w:lineRule="auto"/>
        <w:rPr>
          <w:rFonts w:ascii="微软雅黑" w:hAnsi="微软雅黑" w:eastAsia="微软雅黑"/>
          <w:b/>
          <w:bCs/>
          <w:sz w:val="36"/>
          <w:szCs w:val="36"/>
        </w:rPr>
      </w:pPr>
    </w:p>
    <w:p>
      <w:pPr>
        <w:spacing w:line="360" w:lineRule="auto"/>
        <w:jc w:val="center"/>
        <w:rPr>
          <w:rFonts w:ascii="微软雅黑" w:hAnsi="微软雅黑" w:eastAsia="微软雅黑"/>
          <w:b/>
          <w:bCs/>
          <w:sz w:val="36"/>
          <w:szCs w:val="36"/>
        </w:rPr>
      </w:pPr>
    </w:p>
    <w:p>
      <w:pPr>
        <w:spacing w:line="360" w:lineRule="auto"/>
        <w:jc w:val="center"/>
        <w:rPr>
          <w:rFonts w:ascii="微软雅黑" w:hAnsi="微软雅黑" w:eastAsia="微软雅黑"/>
          <w:b/>
          <w:bCs/>
          <w:sz w:val="36"/>
          <w:szCs w:val="36"/>
        </w:rPr>
      </w:pPr>
      <w:r>
        <w:rPr>
          <w:rFonts w:hint="eastAsia" w:ascii="微软雅黑" w:hAnsi="微软雅黑" w:eastAsia="微软雅黑"/>
          <w:b/>
          <w:bCs/>
          <w:sz w:val="36"/>
          <w:szCs w:val="36"/>
        </w:rPr>
        <w:t>上海应用技术大学</w:t>
      </w:r>
    </w:p>
    <w:p>
      <w:pPr>
        <w:spacing w:line="360" w:lineRule="auto"/>
        <w:jc w:val="center"/>
        <w:rPr>
          <w:rFonts w:ascii="微软雅黑" w:hAnsi="微软雅黑" w:eastAsia="微软雅黑"/>
          <w:b/>
          <w:bCs/>
          <w:sz w:val="36"/>
          <w:szCs w:val="36"/>
        </w:rPr>
      </w:pPr>
      <w:r>
        <w:rPr>
          <w:rFonts w:hint="eastAsia" w:ascii="微软雅黑" w:hAnsi="微软雅黑" w:eastAsia="微软雅黑"/>
          <w:b/>
          <w:bCs/>
          <w:sz w:val="36"/>
          <w:szCs w:val="36"/>
        </w:rPr>
        <w:t>2023年3月</w:t>
      </w:r>
    </w:p>
    <w:p>
      <w:pPr>
        <w:spacing w:line="360" w:lineRule="auto"/>
        <w:rPr>
          <w:szCs w:val="28"/>
        </w:rPr>
      </w:pPr>
    </w:p>
    <w:p>
      <w:pPr>
        <w:spacing w:line="360" w:lineRule="auto"/>
        <w:rPr>
          <w:rFonts w:ascii="黑体" w:hAnsi="宋体" w:eastAsia="黑体"/>
          <w:color w:val="000000"/>
          <w:kern w:val="0"/>
          <w:sz w:val="32"/>
          <w:szCs w:val="32"/>
        </w:rPr>
      </w:pPr>
    </w:p>
    <w:p>
      <w:pPr>
        <w:spacing w:line="360" w:lineRule="auto"/>
        <w:rPr>
          <w:rFonts w:ascii="黑体" w:hAnsi="宋体" w:eastAsia="黑体"/>
          <w:color w:val="000000"/>
          <w:kern w:val="0"/>
          <w:sz w:val="32"/>
          <w:szCs w:val="32"/>
        </w:rPr>
      </w:pPr>
    </w:p>
    <w:p>
      <w:pPr>
        <w:pStyle w:val="8"/>
      </w:pPr>
    </w:p>
    <w:p>
      <w:pPr>
        <w:pStyle w:val="8"/>
        <w:rPr>
          <w:b/>
          <w:sz w:val="28"/>
          <w:szCs w:val="28"/>
        </w:rPr>
      </w:pPr>
      <w:r>
        <w:rPr>
          <w:rFonts w:hint="eastAsia"/>
          <w:b/>
          <w:sz w:val="28"/>
          <w:szCs w:val="28"/>
        </w:rPr>
        <w:t>目  录</w:t>
      </w:r>
    </w:p>
    <w:p>
      <w:pPr>
        <w:pStyle w:val="8"/>
        <w:spacing w:line="283" w:lineRule="auto"/>
        <w:rPr>
          <w:b/>
          <w:color w:val="auto"/>
          <w:sz w:val="21"/>
          <w:szCs w:val="22"/>
        </w:rPr>
      </w:pPr>
      <w:r>
        <w:rPr>
          <w:sz w:val="28"/>
          <w:szCs w:val="28"/>
        </w:rPr>
        <w:fldChar w:fldCharType="begin"/>
      </w:r>
      <w:r>
        <w:instrText xml:space="preserve"> </w:instrText>
      </w:r>
      <w:r>
        <w:rPr>
          <w:rFonts w:hint="eastAsia"/>
        </w:rPr>
        <w:instrText xml:space="preserve">TOC \o "1-3" \h \z \u</w:instrText>
      </w:r>
      <w:r>
        <w:instrText xml:space="preserve"> </w:instrText>
      </w:r>
      <w:r>
        <w:rPr>
          <w:sz w:val="28"/>
          <w:szCs w:val="28"/>
        </w:rPr>
        <w:fldChar w:fldCharType="separate"/>
      </w:r>
      <w:r>
        <w:fldChar w:fldCharType="begin"/>
      </w:r>
      <w:r>
        <w:instrText xml:space="preserve"> HYPERLINK \l "_Toc131671165" </w:instrText>
      </w:r>
      <w:r>
        <w:fldChar w:fldCharType="separate"/>
      </w:r>
      <w:r>
        <w:rPr>
          <w:rStyle w:val="16"/>
          <w:rFonts w:hint="eastAsia"/>
          <w:b/>
        </w:rPr>
        <w:t>第一部分</w:t>
      </w:r>
      <w:r>
        <w:rPr>
          <w:rStyle w:val="16"/>
          <w:b/>
        </w:rPr>
        <w:t xml:space="preserve">  </w:t>
      </w:r>
      <w:r>
        <w:rPr>
          <w:rStyle w:val="16"/>
          <w:rFonts w:hint="eastAsia"/>
          <w:b/>
        </w:rPr>
        <w:t>课程思政顶层设计</w:t>
      </w:r>
      <w:r>
        <w:rPr>
          <w:b/>
        </w:rPr>
        <w:tab/>
      </w:r>
      <w:r>
        <w:rPr>
          <w:b/>
        </w:rPr>
        <w:fldChar w:fldCharType="begin"/>
      </w:r>
      <w:r>
        <w:rPr>
          <w:b/>
        </w:rPr>
        <w:instrText xml:space="preserve"> PAGEREF _Toc131671165 \h </w:instrText>
      </w:r>
      <w:r>
        <w:rPr>
          <w:b/>
        </w:rPr>
        <w:fldChar w:fldCharType="separate"/>
      </w:r>
      <w:r>
        <w:rPr>
          <w:b/>
        </w:rPr>
        <w:t>1</w:t>
      </w:r>
      <w:r>
        <w:rPr>
          <w:b/>
        </w:rPr>
        <w:fldChar w:fldCharType="end"/>
      </w:r>
      <w:r>
        <w:rPr>
          <w:b/>
        </w:rPr>
        <w:fldChar w:fldCharType="end"/>
      </w:r>
    </w:p>
    <w:p>
      <w:pPr>
        <w:pStyle w:val="8"/>
        <w:spacing w:line="283" w:lineRule="auto"/>
        <w:rPr>
          <w:sz w:val="21"/>
          <w:szCs w:val="22"/>
        </w:rPr>
      </w:pPr>
      <w:r>
        <w:rPr>
          <w:rStyle w:val="16"/>
          <w:rFonts w:hint="eastAsia"/>
          <w:color w:val="000000" w:themeColor="text1"/>
          <w:u w:val="none"/>
          <w14:textFill>
            <w14:solidFill>
              <w14:schemeClr w14:val="tx1"/>
            </w14:solidFill>
          </w14:textFill>
        </w:rPr>
        <w:t>1.</w:t>
      </w:r>
      <w:r>
        <w:fldChar w:fldCharType="begin"/>
      </w:r>
      <w:r>
        <w:instrText xml:space="preserve"> HYPERLINK \l "_Toc131671166" </w:instrText>
      </w:r>
      <w:r>
        <w:fldChar w:fldCharType="separate"/>
      </w:r>
      <w:r>
        <w:rPr>
          <w:rStyle w:val="16"/>
          <w:rFonts w:hint="eastAsia" w:asciiTheme="minorEastAsia" w:hAnsiTheme="minorEastAsia"/>
          <w:color w:val="000000" w:themeColor="text1"/>
          <w:u w:val="none"/>
          <w14:textFill>
            <w14:solidFill>
              <w14:schemeClr w14:val="tx1"/>
            </w14:solidFill>
          </w14:textFill>
        </w:rPr>
        <w:t>全面推进以“厚德精技</w:t>
      </w:r>
      <w:r>
        <w:rPr>
          <w:rStyle w:val="16"/>
          <w:rFonts w:asciiTheme="minorEastAsia" w:hAnsiTheme="minorEastAsia"/>
          <w:color w:val="000000" w:themeColor="text1"/>
          <w:u w:val="none"/>
          <w14:textFill>
            <w14:solidFill>
              <w14:schemeClr w14:val="tx1"/>
            </w14:solidFill>
          </w14:textFill>
        </w:rPr>
        <w:t xml:space="preserve"> </w:t>
      </w:r>
      <w:r>
        <w:rPr>
          <w:rStyle w:val="16"/>
          <w:rFonts w:hint="eastAsia" w:asciiTheme="minorEastAsia" w:hAnsiTheme="minorEastAsia"/>
          <w:color w:val="000000" w:themeColor="text1"/>
          <w:u w:val="none"/>
          <w14:textFill>
            <w14:solidFill>
              <w14:schemeClr w14:val="tx1"/>
            </w14:solidFill>
          </w14:textFill>
        </w:rPr>
        <w:t>守正创新”为统领的课程思政改革</w:t>
      </w:r>
      <w:r>
        <w:tab/>
      </w:r>
      <w:r>
        <w:fldChar w:fldCharType="begin"/>
      </w:r>
      <w:r>
        <w:instrText xml:space="preserve"> PAGEREF _Toc131671166 \h </w:instrText>
      </w:r>
      <w:r>
        <w:fldChar w:fldCharType="separate"/>
      </w:r>
      <w:r>
        <w:t>2</w:t>
      </w:r>
      <w:r>
        <w:fldChar w:fldCharType="end"/>
      </w:r>
      <w:r>
        <w:fldChar w:fldCharType="end"/>
      </w:r>
    </w:p>
    <w:p>
      <w:pPr>
        <w:pStyle w:val="8"/>
        <w:spacing w:line="283" w:lineRule="auto"/>
        <w:rPr>
          <w:sz w:val="21"/>
          <w:szCs w:val="22"/>
        </w:rPr>
      </w:pPr>
      <w:r>
        <w:rPr>
          <w:rStyle w:val="16"/>
          <w:rFonts w:hint="eastAsia"/>
          <w:color w:val="000000" w:themeColor="text1"/>
          <w:u w:val="none"/>
          <w14:textFill>
            <w14:solidFill>
              <w14:schemeClr w14:val="tx1"/>
            </w14:solidFill>
          </w14:textFill>
        </w:rPr>
        <w:t>2.</w:t>
      </w:r>
      <w:r>
        <w:fldChar w:fldCharType="begin"/>
      </w:r>
      <w:r>
        <w:instrText xml:space="preserve"> HYPERLINK \l "_Toc131671167" </w:instrText>
      </w:r>
      <w:r>
        <w:fldChar w:fldCharType="separate"/>
      </w:r>
      <w:r>
        <w:rPr>
          <w:rStyle w:val="16"/>
          <w:rFonts w:hint="eastAsia" w:asciiTheme="minorEastAsia" w:hAnsiTheme="minorEastAsia"/>
          <w:color w:val="000000" w:themeColor="text1"/>
          <w:u w:val="none"/>
          <w14:textFill>
            <w14:solidFill>
              <w14:schemeClr w14:val="tx1"/>
            </w14:solidFill>
          </w14:textFill>
        </w:rPr>
        <w:t>在学校“明德讲坛”暨课程思政领航计划负责人及骨干教师培训班成果交流会上的讲话</w:t>
      </w:r>
      <w:r>
        <w:tab/>
      </w:r>
      <w:r>
        <w:fldChar w:fldCharType="begin"/>
      </w:r>
      <w:r>
        <w:instrText xml:space="preserve"> PAGEREF _Toc131671167 \h </w:instrText>
      </w:r>
      <w:r>
        <w:fldChar w:fldCharType="separate"/>
      </w:r>
      <w:r>
        <w:t>6</w:t>
      </w:r>
      <w:r>
        <w:fldChar w:fldCharType="end"/>
      </w:r>
      <w:r>
        <w:fldChar w:fldCharType="end"/>
      </w:r>
    </w:p>
    <w:p>
      <w:pPr>
        <w:pStyle w:val="8"/>
        <w:spacing w:line="283" w:lineRule="auto"/>
        <w:jc w:val="both"/>
        <w:rPr>
          <w:sz w:val="21"/>
          <w:szCs w:val="22"/>
        </w:rPr>
      </w:pPr>
      <w:r>
        <w:rPr>
          <w:rStyle w:val="16"/>
          <w:rFonts w:hint="eastAsia"/>
          <w:color w:val="000000" w:themeColor="text1"/>
          <w:u w:val="none"/>
          <w14:textFill>
            <w14:solidFill>
              <w14:schemeClr w14:val="tx1"/>
            </w14:solidFill>
          </w14:textFill>
        </w:rPr>
        <w:t>3.</w:t>
      </w:r>
      <w:r>
        <w:fldChar w:fldCharType="begin"/>
      </w:r>
      <w:r>
        <w:instrText xml:space="preserve"> HYPERLINK \l "_Toc131671168" </w:instrText>
      </w:r>
      <w:r>
        <w:fldChar w:fldCharType="separate"/>
      </w:r>
      <w:r>
        <w:rPr>
          <w:rStyle w:val="16"/>
          <w:rFonts w:hint="eastAsia" w:asciiTheme="minorEastAsia" w:hAnsiTheme="minorEastAsia"/>
          <w:color w:val="000000" w:themeColor="text1"/>
          <w:u w:val="none"/>
          <w14:textFill>
            <w14:solidFill>
              <w14:schemeClr w14:val="tx1"/>
            </w14:solidFill>
          </w14:textFill>
        </w:rPr>
        <w:t>上海应用技术大学课程思政领航计划负责人及骨干教师培训开班仪式上的动员讲话</w:t>
      </w:r>
      <w:r>
        <w:tab/>
      </w:r>
      <w:r>
        <w:fldChar w:fldCharType="begin"/>
      </w:r>
      <w:r>
        <w:instrText xml:space="preserve"> PAGEREF _Toc131671168 \h </w:instrText>
      </w:r>
      <w:r>
        <w:fldChar w:fldCharType="separate"/>
      </w:r>
      <w:r>
        <w:t>12</w:t>
      </w:r>
      <w:r>
        <w:fldChar w:fldCharType="end"/>
      </w:r>
      <w:r>
        <w:fldChar w:fldCharType="end"/>
      </w:r>
    </w:p>
    <w:p>
      <w:pPr>
        <w:pStyle w:val="8"/>
        <w:spacing w:line="283" w:lineRule="auto"/>
        <w:rPr>
          <w:sz w:val="21"/>
          <w:szCs w:val="22"/>
        </w:rPr>
      </w:pPr>
      <w:r>
        <w:rPr>
          <w:rStyle w:val="16"/>
          <w:rFonts w:hint="eastAsia"/>
          <w:color w:val="000000" w:themeColor="text1"/>
          <w:u w:val="none"/>
          <w14:textFill>
            <w14:solidFill>
              <w14:schemeClr w14:val="tx1"/>
            </w14:solidFill>
          </w14:textFill>
        </w:rPr>
        <w:t>4.</w:t>
      </w:r>
      <w:r>
        <w:fldChar w:fldCharType="begin"/>
      </w:r>
      <w:r>
        <w:instrText xml:space="preserve"> HYPERLINK \l "_Toc131671169" </w:instrText>
      </w:r>
      <w:r>
        <w:fldChar w:fldCharType="separate"/>
      </w:r>
      <w:r>
        <w:rPr>
          <w:rStyle w:val="16"/>
          <w:rFonts w:hint="eastAsia" w:asciiTheme="minorEastAsia" w:hAnsiTheme="minorEastAsia"/>
          <w:color w:val="000000" w:themeColor="text1"/>
          <w:u w:val="none"/>
          <w14:textFill>
            <w14:solidFill>
              <w14:schemeClr w14:val="tx1"/>
            </w14:solidFill>
          </w14:textFill>
        </w:rPr>
        <w:t>【光明网】柯勤飞：让</w:t>
      </w:r>
      <w:r>
        <w:rPr>
          <w:rStyle w:val="16"/>
          <w:rFonts w:asciiTheme="minorEastAsia" w:hAnsiTheme="minorEastAsia"/>
          <w:color w:val="000000" w:themeColor="text1"/>
          <w:u w:val="none"/>
          <w14:textFill>
            <w14:solidFill>
              <w14:schemeClr w14:val="tx1"/>
            </w14:solidFill>
          </w14:textFill>
        </w:rPr>
        <w:t>“</w:t>
      </w:r>
      <w:r>
        <w:rPr>
          <w:rStyle w:val="16"/>
          <w:rFonts w:hint="eastAsia" w:asciiTheme="minorEastAsia" w:hAnsiTheme="minorEastAsia"/>
          <w:color w:val="000000" w:themeColor="text1"/>
          <w:u w:val="none"/>
          <w14:textFill>
            <w14:solidFill>
              <w14:schemeClr w14:val="tx1"/>
            </w14:solidFill>
          </w14:textFill>
        </w:rPr>
        <w:t>三个抓住</w:t>
      </w:r>
      <w:r>
        <w:rPr>
          <w:rStyle w:val="16"/>
          <w:rFonts w:asciiTheme="minorEastAsia" w:hAnsiTheme="minorEastAsia"/>
          <w:color w:val="000000" w:themeColor="text1"/>
          <w:u w:val="none"/>
          <w14:textFill>
            <w14:solidFill>
              <w14:schemeClr w14:val="tx1"/>
            </w14:solidFill>
          </w14:textFill>
        </w:rPr>
        <w:t>”</w:t>
      </w:r>
      <w:r>
        <w:rPr>
          <w:rStyle w:val="16"/>
          <w:rFonts w:hint="eastAsia" w:asciiTheme="minorEastAsia" w:hAnsiTheme="minorEastAsia"/>
          <w:color w:val="000000" w:themeColor="text1"/>
          <w:u w:val="none"/>
          <w14:textFill>
            <w14:solidFill>
              <w14:schemeClr w14:val="tx1"/>
            </w14:solidFill>
          </w14:textFill>
        </w:rPr>
        <w:t>成为全面推进课程思政的锁钥</w:t>
      </w:r>
      <w:r>
        <w:tab/>
      </w:r>
      <w:r>
        <w:fldChar w:fldCharType="begin"/>
      </w:r>
      <w:r>
        <w:instrText xml:space="preserve"> PAGEREF _Toc131671169 \h </w:instrText>
      </w:r>
      <w:r>
        <w:fldChar w:fldCharType="separate"/>
      </w:r>
      <w:r>
        <w:t>16</w:t>
      </w:r>
      <w:r>
        <w:fldChar w:fldCharType="end"/>
      </w:r>
      <w:r>
        <w:fldChar w:fldCharType="end"/>
      </w:r>
    </w:p>
    <w:p>
      <w:pPr>
        <w:pStyle w:val="8"/>
        <w:spacing w:line="283" w:lineRule="auto"/>
        <w:rPr>
          <w:sz w:val="21"/>
          <w:szCs w:val="22"/>
        </w:rPr>
      </w:pPr>
      <w:r>
        <w:rPr>
          <w:rStyle w:val="16"/>
          <w:rFonts w:hint="eastAsia"/>
          <w:color w:val="000000" w:themeColor="text1"/>
          <w:u w:val="none"/>
          <w14:textFill>
            <w14:solidFill>
              <w14:schemeClr w14:val="tx1"/>
            </w14:solidFill>
          </w14:textFill>
        </w:rPr>
        <w:t>5.</w:t>
      </w:r>
      <w:r>
        <w:fldChar w:fldCharType="begin"/>
      </w:r>
      <w:r>
        <w:instrText xml:space="preserve"> HYPERLINK \l "_Toc131671170" </w:instrText>
      </w:r>
      <w:r>
        <w:fldChar w:fldCharType="separate"/>
      </w:r>
      <w:r>
        <w:rPr>
          <w:rStyle w:val="16"/>
          <w:rFonts w:hint="eastAsia" w:asciiTheme="minorEastAsia" w:hAnsiTheme="minorEastAsia"/>
          <w:color w:val="000000" w:themeColor="text1"/>
          <w:u w:val="none"/>
          <w14:textFill>
            <w14:solidFill>
              <w14:schemeClr w14:val="tx1"/>
            </w14:solidFill>
          </w14:textFill>
        </w:rPr>
        <w:t>上海高校课程思政领航计划（整体改革领航高校）申报书</w:t>
      </w:r>
      <w:r>
        <w:tab/>
      </w:r>
      <w:r>
        <w:fldChar w:fldCharType="begin"/>
      </w:r>
      <w:r>
        <w:instrText xml:space="preserve"> PAGEREF _Toc131671170 \h </w:instrText>
      </w:r>
      <w:r>
        <w:fldChar w:fldCharType="separate"/>
      </w:r>
      <w:r>
        <w:t>20</w:t>
      </w:r>
      <w:r>
        <w:fldChar w:fldCharType="end"/>
      </w:r>
      <w:r>
        <w:fldChar w:fldCharType="end"/>
      </w:r>
    </w:p>
    <w:p>
      <w:pPr>
        <w:pStyle w:val="8"/>
        <w:spacing w:line="283" w:lineRule="auto"/>
        <w:rPr>
          <w:b/>
          <w:color w:val="auto"/>
          <w:sz w:val="21"/>
          <w:szCs w:val="22"/>
        </w:rPr>
      </w:pPr>
      <w:r>
        <w:fldChar w:fldCharType="begin"/>
      </w:r>
      <w:r>
        <w:instrText xml:space="preserve"> HYPERLINK \l "_Toc131671171" </w:instrText>
      </w:r>
      <w:r>
        <w:fldChar w:fldCharType="separate"/>
      </w:r>
      <w:r>
        <w:rPr>
          <w:rStyle w:val="16"/>
          <w:rFonts w:hint="eastAsia"/>
          <w:b/>
        </w:rPr>
        <w:t>第二部分</w:t>
      </w:r>
      <w:r>
        <w:rPr>
          <w:rStyle w:val="16"/>
          <w:b/>
        </w:rPr>
        <w:t xml:space="preserve">  </w:t>
      </w:r>
      <w:r>
        <w:rPr>
          <w:rStyle w:val="16"/>
          <w:rFonts w:hint="eastAsia"/>
          <w:b/>
        </w:rPr>
        <w:t>五大工程建设</w:t>
      </w:r>
      <w:r>
        <w:rPr>
          <w:b/>
        </w:rPr>
        <w:tab/>
      </w:r>
      <w:r>
        <w:rPr>
          <w:b/>
        </w:rPr>
        <w:fldChar w:fldCharType="begin"/>
      </w:r>
      <w:r>
        <w:rPr>
          <w:b/>
        </w:rPr>
        <w:instrText xml:space="preserve"> PAGEREF _Toc131671171 \h </w:instrText>
      </w:r>
      <w:r>
        <w:rPr>
          <w:b/>
        </w:rPr>
        <w:fldChar w:fldCharType="separate"/>
      </w:r>
      <w:r>
        <w:rPr>
          <w:b/>
        </w:rPr>
        <w:t>49</w:t>
      </w:r>
      <w:r>
        <w:rPr>
          <w:b/>
        </w:rPr>
        <w:fldChar w:fldCharType="end"/>
      </w:r>
      <w:r>
        <w:rPr>
          <w:b/>
        </w:rPr>
        <w:fldChar w:fldCharType="end"/>
      </w:r>
    </w:p>
    <w:p>
      <w:pPr>
        <w:pStyle w:val="8"/>
        <w:spacing w:line="283" w:lineRule="auto"/>
        <w:rPr>
          <w:color w:val="auto"/>
          <w:sz w:val="21"/>
          <w:szCs w:val="22"/>
        </w:rPr>
      </w:pPr>
      <w:r>
        <w:fldChar w:fldCharType="begin"/>
      </w:r>
      <w:r>
        <w:instrText xml:space="preserve"> HYPERLINK \l "_Toc131671172" </w:instrText>
      </w:r>
      <w:r>
        <w:fldChar w:fldCharType="separate"/>
      </w:r>
      <w:r>
        <w:rPr>
          <w:rStyle w:val="16"/>
          <w:rFonts w:hint="eastAsia" w:asciiTheme="minorEastAsia" w:hAnsiTheme="minorEastAsia"/>
        </w:rPr>
        <w:t>一、金课建设工程</w:t>
      </w:r>
      <w:r>
        <w:tab/>
      </w:r>
      <w:r>
        <w:fldChar w:fldCharType="begin"/>
      </w:r>
      <w:r>
        <w:instrText xml:space="preserve"> PAGEREF _Toc131671172 \h </w:instrText>
      </w:r>
      <w:r>
        <w:fldChar w:fldCharType="separate"/>
      </w:r>
      <w:r>
        <w:t>50</w:t>
      </w:r>
      <w:r>
        <w:fldChar w:fldCharType="end"/>
      </w:r>
      <w:r>
        <w:fldChar w:fldCharType="end"/>
      </w:r>
    </w:p>
    <w:p>
      <w:pPr>
        <w:pStyle w:val="8"/>
        <w:spacing w:line="283" w:lineRule="auto"/>
        <w:rPr>
          <w:color w:val="auto"/>
          <w:sz w:val="21"/>
          <w:szCs w:val="22"/>
        </w:rPr>
      </w:pPr>
      <w:r>
        <w:fldChar w:fldCharType="begin"/>
      </w:r>
      <w:r>
        <w:instrText xml:space="preserve"> HYPERLINK \l "_Toc131671173" </w:instrText>
      </w:r>
      <w:r>
        <w:fldChar w:fldCharType="separate"/>
      </w:r>
      <w:r>
        <w:rPr>
          <w:rStyle w:val="16"/>
          <w:rFonts w:hint="eastAsia" w:asciiTheme="minorEastAsia" w:hAnsiTheme="minorEastAsia"/>
        </w:rPr>
        <w:t>（一）各类课程建设成果一览表</w:t>
      </w:r>
      <w:r>
        <w:tab/>
      </w:r>
      <w:r>
        <w:fldChar w:fldCharType="begin"/>
      </w:r>
      <w:r>
        <w:instrText xml:space="preserve"> PAGEREF _Toc131671173 \h </w:instrText>
      </w:r>
      <w:r>
        <w:fldChar w:fldCharType="separate"/>
      </w:r>
      <w:r>
        <w:t>50</w:t>
      </w:r>
      <w:r>
        <w:fldChar w:fldCharType="end"/>
      </w:r>
      <w:r>
        <w:fldChar w:fldCharType="end"/>
      </w:r>
    </w:p>
    <w:p>
      <w:pPr>
        <w:pStyle w:val="8"/>
        <w:spacing w:line="283" w:lineRule="auto"/>
        <w:rPr>
          <w:color w:val="auto"/>
          <w:sz w:val="21"/>
          <w:szCs w:val="22"/>
        </w:rPr>
      </w:pPr>
      <w:r>
        <w:fldChar w:fldCharType="begin"/>
      </w:r>
      <w:r>
        <w:instrText xml:space="preserve"> HYPERLINK \l "_Toc131671174" </w:instrText>
      </w:r>
      <w:r>
        <w:fldChar w:fldCharType="separate"/>
      </w:r>
      <w:r>
        <w:rPr>
          <w:rStyle w:val="16"/>
          <w:rFonts w:hint="eastAsia" w:asciiTheme="minorEastAsia" w:hAnsiTheme="minorEastAsia"/>
        </w:rPr>
        <w:t>（二）部分课程的课程思政建设内容（选摘）</w:t>
      </w:r>
      <w:r>
        <w:tab/>
      </w:r>
      <w:r>
        <w:fldChar w:fldCharType="begin"/>
      </w:r>
      <w:r>
        <w:instrText xml:space="preserve"> PAGEREF _Toc131671174 \h </w:instrText>
      </w:r>
      <w:r>
        <w:fldChar w:fldCharType="separate"/>
      </w:r>
      <w:r>
        <w:t>51</w:t>
      </w:r>
      <w:r>
        <w:fldChar w:fldCharType="end"/>
      </w:r>
      <w:r>
        <w:fldChar w:fldCharType="end"/>
      </w:r>
    </w:p>
    <w:p>
      <w:pPr>
        <w:pStyle w:val="8"/>
        <w:spacing w:line="283" w:lineRule="auto"/>
        <w:rPr>
          <w:b/>
          <w:color w:val="auto"/>
          <w:sz w:val="21"/>
          <w:szCs w:val="22"/>
        </w:rPr>
      </w:pPr>
      <w:r>
        <w:fldChar w:fldCharType="begin"/>
      </w:r>
      <w:r>
        <w:instrText xml:space="preserve"> HYPERLINK \l "_Toc131671175" </w:instrText>
      </w:r>
      <w:r>
        <w:fldChar w:fldCharType="separate"/>
      </w:r>
      <w:r>
        <w:rPr>
          <w:rStyle w:val="16"/>
          <w:rFonts w:hint="eastAsia" w:asciiTheme="minorEastAsia" w:hAnsiTheme="minorEastAsia"/>
          <w:b/>
        </w:rPr>
        <w:t>二、名师培育工程</w:t>
      </w:r>
      <w:r>
        <w:rPr>
          <w:b/>
        </w:rPr>
        <w:tab/>
      </w:r>
      <w:r>
        <w:rPr>
          <w:b/>
        </w:rPr>
        <w:fldChar w:fldCharType="begin"/>
      </w:r>
      <w:r>
        <w:rPr>
          <w:b/>
        </w:rPr>
        <w:instrText xml:space="preserve"> PAGEREF _Toc131671175 \h </w:instrText>
      </w:r>
      <w:r>
        <w:rPr>
          <w:b/>
        </w:rPr>
        <w:fldChar w:fldCharType="separate"/>
      </w:r>
      <w:r>
        <w:rPr>
          <w:b/>
        </w:rPr>
        <w:t>59</w:t>
      </w:r>
      <w:r>
        <w:rPr>
          <w:b/>
        </w:rPr>
        <w:fldChar w:fldCharType="end"/>
      </w:r>
      <w:r>
        <w:rPr>
          <w:b/>
        </w:rPr>
        <w:fldChar w:fldCharType="end"/>
      </w:r>
    </w:p>
    <w:p>
      <w:pPr>
        <w:pStyle w:val="8"/>
        <w:spacing w:line="283" w:lineRule="auto"/>
        <w:rPr>
          <w:color w:val="auto"/>
          <w:sz w:val="21"/>
          <w:szCs w:val="22"/>
        </w:rPr>
      </w:pPr>
      <w:r>
        <w:fldChar w:fldCharType="begin"/>
      </w:r>
      <w:r>
        <w:instrText xml:space="preserve"> HYPERLINK \l "_Toc131671176" </w:instrText>
      </w:r>
      <w:r>
        <w:fldChar w:fldCharType="separate"/>
      </w:r>
      <w:r>
        <w:rPr>
          <w:rStyle w:val="16"/>
          <w:rFonts w:hint="eastAsia" w:asciiTheme="minorEastAsia" w:hAnsiTheme="minorEastAsia"/>
        </w:rPr>
        <w:t>（一）各级各类课程思政培训（选摘）</w:t>
      </w:r>
      <w:r>
        <w:tab/>
      </w:r>
      <w:r>
        <w:fldChar w:fldCharType="begin"/>
      </w:r>
      <w:r>
        <w:instrText xml:space="preserve"> PAGEREF _Toc131671176 \h </w:instrText>
      </w:r>
      <w:r>
        <w:fldChar w:fldCharType="separate"/>
      </w:r>
      <w:r>
        <w:t>59</w:t>
      </w:r>
      <w:r>
        <w:fldChar w:fldCharType="end"/>
      </w:r>
      <w:r>
        <w:fldChar w:fldCharType="end"/>
      </w:r>
    </w:p>
    <w:p>
      <w:pPr>
        <w:pStyle w:val="8"/>
        <w:spacing w:line="283" w:lineRule="auto"/>
        <w:rPr>
          <w:color w:val="auto"/>
          <w:sz w:val="21"/>
          <w:szCs w:val="22"/>
        </w:rPr>
      </w:pPr>
      <w:r>
        <w:fldChar w:fldCharType="begin"/>
      </w:r>
      <w:r>
        <w:instrText xml:space="preserve"> HYPERLINK \l "_Toc131671177" </w:instrText>
      </w:r>
      <w:r>
        <w:fldChar w:fldCharType="separate"/>
      </w:r>
      <w:r>
        <w:rPr>
          <w:rStyle w:val="16"/>
          <w:rFonts w:hint="eastAsia" w:asciiTheme="minorEastAsia" w:hAnsiTheme="minorEastAsia"/>
        </w:rPr>
        <w:t>（二）课程思政教师沙龙一览表</w:t>
      </w:r>
      <w:r>
        <w:tab/>
      </w:r>
      <w:r>
        <w:fldChar w:fldCharType="begin"/>
      </w:r>
      <w:r>
        <w:instrText xml:space="preserve"> PAGEREF _Toc131671177 \h </w:instrText>
      </w:r>
      <w:r>
        <w:fldChar w:fldCharType="separate"/>
      </w:r>
      <w:r>
        <w:t>62</w:t>
      </w:r>
      <w:r>
        <w:fldChar w:fldCharType="end"/>
      </w:r>
      <w:r>
        <w:fldChar w:fldCharType="end"/>
      </w:r>
    </w:p>
    <w:p>
      <w:pPr>
        <w:pStyle w:val="8"/>
        <w:spacing w:line="283" w:lineRule="auto"/>
        <w:rPr>
          <w:color w:val="auto"/>
          <w:sz w:val="21"/>
          <w:szCs w:val="22"/>
        </w:rPr>
      </w:pPr>
      <w:r>
        <w:fldChar w:fldCharType="begin"/>
      </w:r>
      <w:r>
        <w:instrText xml:space="preserve"> HYPERLINK \l "_Toc131671178" </w:instrText>
      </w:r>
      <w:r>
        <w:fldChar w:fldCharType="separate"/>
      </w:r>
      <w:r>
        <w:rPr>
          <w:rStyle w:val="16"/>
          <w:rFonts w:hint="eastAsia" w:asciiTheme="minorEastAsia" w:hAnsiTheme="minorEastAsia"/>
        </w:rPr>
        <w:t>（三）名师培育取得成果及成效</w:t>
      </w:r>
      <w:r>
        <w:tab/>
      </w:r>
      <w:r>
        <w:fldChar w:fldCharType="begin"/>
      </w:r>
      <w:r>
        <w:instrText xml:space="preserve"> PAGEREF _Toc131671178 \h </w:instrText>
      </w:r>
      <w:r>
        <w:fldChar w:fldCharType="separate"/>
      </w:r>
      <w:r>
        <w:t>63</w:t>
      </w:r>
      <w:r>
        <w:fldChar w:fldCharType="end"/>
      </w:r>
      <w:r>
        <w:fldChar w:fldCharType="end"/>
      </w:r>
    </w:p>
    <w:p>
      <w:pPr>
        <w:pStyle w:val="8"/>
        <w:spacing w:line="283" w:lineRule="auto"/>
        <w:rPr>
          <w:b/>
          <w:color w:val="auto"/>
          <w:sz w:val="21"/>
          <w:szCs w:val="22"/>
        </w:rPr>
      </w:pPr>
      <w:r>
        <w:fldChar w:fldCharType="begin"/>
      </w:r>
      <w:r>
        <w:instrText xml:space="preserve"> HYPERLINK \l "_Toc131671179" </w:instrText>
      </w:r>
      <w:r>
        <w:fldChar w:fldCharType="separate"/>
      </w:r>
      <w:r>
        <w:rPr>
          <w:rStyle w:val="16"/>
          <w:rFonts w:hint="eastAsia"/>
          <w:b/>
        </w:rPr>
        <w:t>三、质量保障工程</w:t>
      </w:r>
      <w:r>
        <w:rPr>
          <w:b/>
        </w:rPr>
        <w:tab/>
      </w:r>
      <w:r>
        <w:rPr>
          <w:b/>
        </w:rPr>
        <w:fldChar w:fldCharType="begin"/>
      </w:r>
      <w:r>
        <w:rPr>
          <w:b/>
        </w:rPr>
        <w:instrText xml:space="preserve"> PAGEREF _Toc131671179 \h </w:instrText>
      </w:r>
      <w:r>
        <w:rPr>
          <w:b/>
        </w:rPr>
        <w:fldChar w:fldCharType="separate"/>
      </w:r>
      <w:r>
        <w:rPr>
          <w:b/>
        </w:rPr>
        <w:t>71</w:t>
      </w:r>
      <w:r>
        <w:rPr>
          <w:b/>
        </w:rPr>
        <w:fldChar w:fldCharType="end"/>
      </w:r>
      <w:r>
        <w:rPr>
          <w:b/>
        </w:rPr>
        <w:fldChar w:fldCharType="end"/>
      </w:r>
    </w:p>
    <w:p>
      <w:pPr>
        <w:pStyle w:val="8"/>
        <w:spacing w:line="283" w:lineRule="auto"/>
        <w:rPr>
          <w:color w:val="auto"/>
          <w:sz w:val="21"/>
          <w:szCs w:val="22"/>
        </w:rPr>
      </w:pPr>
      <w:r>
        <w:fldChar w:fldCharType="begin"/>
      </w:r>
      <w:r>
        <w:instrText xml:space="preserve"> HYPERLINK \l "_Toc131671180" </w:instrText>
      </w:r>
      <w:r>
        <w:fldChar w:fldCharType="separate"/>
      </w:r>
      <w:r>
        <w:rPr>
          <w:rStyle w:val="16"/>
          <w:rFonts w:hint="eastAsia" w:asciiTheme="minorEastAsia" w:hAnsiTheme="minorEastAsia"/>
        </w:rPr>
        <w:t>（一）路径设计——基于</w:t>
      </w:r>
      <w:r>
        <w:rPr>
          <w:rStyle w:val="16"/>
          <w:rFonts w:asciiTheme="minorEastAsia" w:hAnsiTheme="minorEastAsia"/>
        </w:rPr>
        <w:t>OBE</w:t>
      </w:r>
      <w:r>
        <w:rPr>
          <w:rStyle w:val="16"/>
          <w:rFonts w:hint="eastAsia" w:asciiTheme="minorEastAsia" w:hAnsiTheme="minorEastAsia"/>
        </w:rPr>
        <w:t>理念</w:t>
      </w:r>
      <w:r>
        <w:rPr>
          <w:rStyle w:val="16"/>
          <w:rFonts w:asciiTheme="minorEastAsia" w:hAnsiTheme="minorEastAsia"/>
        </w:rPr>
        <w:t xml:space="preserve"> </w:t>
      </w:r>
      <w:r>
        <w:rPr>
          <w:rStyle w:val="16"/>
          <w:rFonts w:hint="eastAsia" w:asciiTheme="minorEastAsia" w:hAnsiTheme="minorEastAsia"/>
        </w:rPr>
        <w:t>实施课程思政建设</w:t>
      </w:r>
      <w:r>
        <w:tab/>
      </w:r>
      <w:r>
        <w:fldChar w:fldCharType="begin"/>
      </w:r>
      <w:r>
        <w:instrText xml:space="preserve"> PAGEREF _Toc131671180 \h </w:instrText>
      </w:r>
      <w:r>
        <w:fldChar w:fldCharType="separate"/>
      </w:r>
      <w:r>
        <w:t>71</w:t>
      </w:r>
      <w:r>
        <w:fldChar w:fldCharType="end"/>
      </w:r>
      <w:r>
        <w:fldChar w:fldCharType="end"/>
      </w:r>
    </w:p>
    <w:p>
      <w:pPr>
        <w:pStyle w:val="8"/>
        <w:spacing w:line="283" w:lineRule="auto"/>
        <w:rPr>
          <w:color w:val="auto"/>
          <w:sz w:val="21"/>
          <w:szCs w:val="22"/>
        </w:rPr>
      </w:pPr>
      <w:r>
        <w:fldChar w:fldCharType="begin"/>
      </w:r>
      <w:r>
        <w:instrText xml:space="preserve"> HYPERLINK \l "_Toc131671181" </w:instrText>
      </w:r>
      <w:r>
        <w:fldChar w:fldCharType="separate"/>
      </w:r>
      <w:r>
        <w:rPr>
          <w:rStyle w:val="16"/>
          <w:rFonts w:hint="eastAsia" w:asciiTheme="minorEastAsia" w:hAnsiTheme="minorEastAsia"/>
        </w:rPr>
        <w:t>（二）实践探索——把握关键环节和关注重点课程</w:t>
      </w:r>
      <w:r>
        <w:tab/>
      </w:r>
      <w:r>
        <w:fldChar w:fldCharType="begin"/>
      </w:r>
      <w:r>
        <w:instrText xml:space="preserve"> PAGEREF _Toc131671181 \h </w:instrText>
      </w:r>
      <w:r>
        <w:fldChar w:fldCharType="separate"/>
      </w:r>
      <w:r>
        <w:t>76</w:t>
      </w:r>
      <w:r>
        <w:fldChar w:fldCharType="end"/>
      </w:r>
      <w:r>
        <w:fldChar w:fldCharType="end"/>
      </w:r>
    </w:p>
    <w:p>
      <w:pPr>
        <w:pStyle w:val="8"/>
        <w:spacing w:line="283" w:lineRule="auto"/>
        <w:rPr>
          <w:color w:val="auto"/>
          <w:sz w:val="21"/>
          <w:szCs w:val="22"/>
        </w:rPr>
      </w:pPr>
      <w:r>
        <w:fldChar w:fldCharType="begin"/>
      </w:r>
      <w:r>
        <w:instrText xml:space="preserve"> HYPERLINK \l "_Toc131671182" </w:instrText>
      </w:r>
      <w:r>
        <w:fldChar w:fldCharType="separate"/>
      </w:r>
      <w:r>
        <w:rPr>
          <w:rStyle w:val="16"/>
          <w:rFonts w:hint="eastAsia" w:asciiTheme="minorEastAsia" w:hAnsiTheme="minorEastAsia"/>
        </w:rPr>
        <w:t>（三）方法创新——构建嵌入式课程思政评价模型</w:t>
      </w:r>
      <w:r>
        <w:tab/>
      </w:r>
      <w:r>
        <w:fldChar w:fldCharType="begin"/>
      </w:r>
      <w:r>
        <w:instrText xml:space="preserve"> PAGEREF _Toc131671182 \h </w:instrText>
      </w:r>
      <w:r>
        <w:fldChar w:fldCharType="separate"/>
      </w:r>
      <w:r>
        <w:t>80</w:t>
      </w:r>
      <w:r>
        <w:fldChar w:fldCharType="end"/>
      </w:r>
      <w:r>
        <w:fldChar w:fldCharType="end"/>
      </w:r>
    </w:p>
    <w:p>
      <w:pPr>
        <w:pStyle w:val="8"/>
        <w:spacing w:line="283" w:lineRule="auto"/>
        <w:rPr>
          <w:color w:val="auto"/>
          <w:sz w:val="21"/>
          <w:szCs w:val="22"/>
        </w:rPr>
      </w:pPr>
      <w:r>
        <w:fldChar w:fldCharType="begin"/>
      </w:r>
      <w:r>
        <w:instrText xml:space="preserve"> HYPERLINK \l "_Toc131671183" </w:instrText>
      </w:r>
      <w:r>
        <w:fldChar w:fldCharType="separate"/>
      </w:r>
      <w:r>
        <w:rPr>
          <w:rStyle w:val="16"/>
          <w:rFonts w:hint="eastAsia" w:asciiTheme="minorEastAsia" w:hAnsiTheme="minorEastAsia"/>
        </w:rPr>
        <w:t>（四）制度保障——完善质量标准和管理文件（节选）</w:t>
      </w:r>
      <w:r>
        <w:tab/>
      </w:r>
      <w:r>
        <w:fldChar w:fldCharType="begin"/>
      </w:r>
      <w:r>
        <w:instrText xml:space="preserve"> PAGEREF _Toc131671183 \h </w:instrText>
      </w:r>
      <w:r>
        <w:fldChar w:fldCharType="separate"/>
      </w:r>
      <w:r>
        <w:t>83</w:t>
      </w:r>
      <w:r>
        <w:fldChar w:fldCharType="end"/>
      </w:r>
      <w:r>
        <w:fldChar w:fldCharType="end"/>
      </w:r>
    </w:p>
    <w:p>
      <w:pPr>
        <w:pStyle w:val="8"/>
        <w:spacing w:line="283" w:lineRule="auto"/>
        <w:rPr>
          <w:b/>
          <w:color w:val="auto"/>
          <w:sz w:val="21"/>
          <w:szCs w:val="22"/>
        </w:rPr>
      </w:pPr>
      <w:r>
        <w:fldChar w:fldCharType="begin"/>
      </w:r>
      <w:r>
        <w:instrText xml:space="preserve"> HYPERLINK \l "_Toc131671184" </w:instrText>
      </w:r>
      <w:r>
        <w:fldChar w:fldCharType="separate"/>
      </w:r>
      <w:r>
        <w:rPr>
          <w:rStyle w:val="16"/>
          <w:rFonts w:hint="eastAsia"/>
          <w:b/>
        </w:rPr>
        <w:t>四、理论研究工程</w:t>
      </w:r>
      <w:r>
        <w:rPr>
          <w:b/>
        </w:rPr>
        <w:tab/>
      </w:r>
      <w:r>
        <w:rPr>
          <w:b/>
        </w:rPr>
        <w:fldChar w:fldCharType="begin"/>
      </w:r>
      <w:r>
        <w:rPr>
          <w:b/>
        </w:rPr>
        <w:instrText xml:space="preserve"> PAGEREF _Toc131671184 \h </w:instrText>
      </w:r>
      <w:r>
        <w:rPr>
          <w:b/>
        </w:rPr>
        <w:fldChar w:fldCharType="separate"/>
      </w:r>
      <w:r>
        <w:rPr>
          <w:b/>
        </w:rPr>
        <w:t>86</w:t>
      </w:r>
      <w:r>
        <w:rPr>
          <w:b/>
        </w:rPr>
        <w:fldChar w:fldCharType="end"/>
      </w:r>
      <w:r>
        <w:rPr>
          <w:b/>
        </w:rPr>
        <w:fldChar w:fldCharType="end"/>
      </w:r>
    </w:p>
    <w:p>
      <w:pPr>
        <w:pStyle w:val="8"/>
        <w:spacing w:line="283" w:lineRule="auto"/>
        <w:rPr>
          <w:color w:val="auto"/>
          <w:sz w:val="21"/>
          <w:szCs w:val="22"/>
        </w:rPr>
      </w:pPr>
      <w:r>
        <w:fldChar w:fldCharType="begin"/>
      </w:r>
      <w:r>
        <w:instrText xml:space="preserve"> HYPERLINK \l "_Toc131671185" </w:instrText>
      </w:r>
      <w:r>
        <w:fldChar w:fldCharType="separate"/>
      </w:r>
      <w:r>
        <w:rPr>
          <w:rStyle w:val="16"/>
          <w:rFonts w:hint="eastAsia" w:asciiTheme="minorEastAsia" w:hAnsiTheme="minorEastAsia"/>
        </w:rPr>
        <w:t>（一）课程思政理论研究课题一览表</w:t>
      </w:r>
      <w:r>
        <w:tab/>
      </w:r>
      <w:r>
        <w:fldChar w:fldCharType="begin"/>
      </w:r>
      <w:r>
        <w:instrText xml:space="preserve"> PAGEREF _Toc131671185 \h </w:instrText>
      </w:r>
      <w:r>
        <w:fldChar w:fldCharType="separate"/>
      </w:r>
      <w:r>
        <w:t>86</w:t>
      </w:r>
      <w:r>
        <w:fldChar w:fldCharType="end"/>
      </w:r>
      <w:r>
        <w:fldChar w:fldCharType="end"/>
      </w:r>
    </w:p>
    <w:p>
      <w:pPr>
        <w:pStyle w:val="8"/>
        <w:spacing w:line="283" w:lineRule="auto"/>
      </w:pPr>
      <w:r>
        <w:fldChar w:fldCharType="begin"/>
      </w:r>
      <w:r>
        <w:instrText xml:space="preserve"> HYPERLINK \l "_Toc131671186" </w:instrText>
      </w:r>
      <w:r>
        <w:fldChar w:fldCharType="separate"/>
      </w:r>
      <w:r>
        <w:rPr>
          <w:rStyle w:val="16"/>
          <w:rFonts w:hint="eastAsia" w:asciiTheme="minorEastAsia" w:hAnsiTheme="minorEastAsia"/>
        </w:rPr>
        <w:t>（二）2020年课程思政理论研究课题总结报告</w:t>
      </w:r>
      <w:r>
        <w:tab/>
      </w:r>
      <w:r>
        <w:fldChar w:fldCharType="begin"/>
      </w:r>
      <w:r>
        <w:instrText xml:space="preserve"> PAGEREF _Toc131671186 \h </w:instrText>
      </w:r>
      <w:r>
        <w:fldChar w:fldCharType="separate"/>
      </w:r>
      <w:r>
        <w:t>90</w:t>
      </w:r>
      <w:r>
        <w:fldChar w:fldCharType="end"/>
      </w:r>
      <w:r>
        <w:fldChar w:fldCharType="end"/>
      </w:r>
    </w:p>
    <w:p>
      <w:pPr>
        <w:pStyle w:val="8"/>
        <w:spacing w:line="283" w:lineRule="auto"/>
        <w:rPr>
          <w:color w:val="auto"/>
          <w:sz w:val="21"/>
          <w:szCs w:val="22"/>
        </w:rPr>
      </w:pPr>
      <w:r>
        <w:fldChar w:fldCharType="begin"/>
      </w:r>
      <w:r>
        <w:instrText xml:space="preserve"> HYPERLINK \l "_Toc131671186" </w:instrText>
      </w:r>
      <w:r>
        <w:fldChar w:fldCharType="separate"/>
      </w:r>
      <w:r>
        <w:rPr>
          <w:rStyle w:val="16"/>
          <w:rFonts w:hint="eastAsia" w:asciiTheme="minorEastAsia" w:hAnsiTheme="minorEastAsia"/>
        </w:rPr>
        <w:t>（三）2021年课程思政理论研究课题总结报告</w:t>
      </w:r>
      <w:r>
        <w:tab/>
      </w:r>
      <w:r>
        <w:fldChar w:fldCharType="begin"/>
      </w:r>
      <w:r>
        <w:instrText xml:space="preserve"> PAGEREF _Toc131671186 \h </w:instrText>
      </w:r>
      <w:r>
        <w:fldChar w:fldCharType="separate"/>
      </w:r>
      <w:r>
        <w:t>9</w:t>
      </w:r>
      <w:r>
        <w:rPr>
          <w:rFonts w:hint="eastAsia"/>
        </w:rPr>
        <w:t>5</w:t>
      </w:r>
      <w:r>
        <w:fldChar w:fldCharType="end"/>
      </w:r>
      <w:r>
        <w:fldChar w:fldCharType="end"/>
      </w:r>
    </w:p>
    <w:p>
      <w:pPr>
        <w:pStyle w:val="8"/>
        <w:spacing w:line="283" w:lineRule="auto"/>
        <w:rPr>
          <w:b/>
          <w:color w:val="auto"/>
          <w:sz w:val="21"/>
          <w:szCs w:val="22"/>
        </w:rPr>
      </w:pPr>
      <w:r>
        <w:fldChar w:fldCharType="begin"/>
      </w:r>
      <w:r>
        <w:instrText xml:space="preserve"> HYPERLINK \l "_Toc131671187" </w:instrText>
      </w:r>
      <w:r>
        <w:fldChar w:fldCharType="separate"/>
      </w:r>
      <w:r>
        <w:rPr>
          <w:rStyle w:val="16"/>
          <w:rFonts w:hint="eastAsia"/>
          <w:b/>
        </w:rPr>
        <w:t>五、考核激励工程</w:t>
      </w:r>
      <w:r>
        <w:rPr>
          <w:b/>
        </w:rPr>
        <w:tab/>
      </w:r>
      <w:r>
        <w:rPr>
          <w:b/>
        </w:rPr>
        <w:fldChar w:fldCharType="begin"/>
      </w:r>
      <w:r>
        <w:rPr>
          <w:b/>
        </w:rPr>
        <w:instrText xml:space="preserve"> PAGEREF _Toc131671187 \h </w:instrText>
      </w:r>
      <w:r>
        <w:rPr>
          <w:b/>
        </w:rPr>
        <w:fldChar w:fldCharType="separate"/>
      </w:r>
      <w:r>
        <w:rPr>
          <w:b/>
        </w:rPr>
        <w:t>100</w:t>
      </w:r>
      <w:r>
        <w:rPr>
          <w:b/>
        </w:rPr>
        <w:fldChar w:fldCharType="end"/>
      </w:r>
      <w:r>
        <w:rPr>
          <w:b/>
        </w:rPr>
        <w:fldChar w:fldCharType="end"/>
      </w:r>
    </w:p>
    <w:p>
      <w:pPr>
        <w:pStyle w:val="8"/>
        <w:spacing w:line="283" w:lineRule="auto"/>
        <w:rPr>
          <w:color w:val="auto"/>
          <w:sz w:val="21"/>
          <w:szCs w:val="22"/>
        </w:rPr>
      </w:pPr>
      <w:r>
        <w:fldChar w:fldCharType="begin"/>
      </w:r>
      <w:r>
        <w:instrText xml:space="preserve"> HYPERLINK \l "_Toc131671188" </w:instrText>
      </w:r>
      <w:r>
        <w:fldChar w:fldCharType="separate"/>
      </w:r>
      <w:r>
        <w:rPr>
          <w:rStyle w:val="16"/>
          <w:rFonts w:hint="eastAsia" w:asciiTheme="minorEastAsia" w:hAnsiTheme="minorEastAsia"/>
        </w:rPr>
        <w:t>（一）加强顶层设计和组织落实</w:t>
      </w:r>
      <w:r>
        <w:tab/>
      </w:r>
      <w:r>
        <w:fldChar w:fldCharType="begin"/>
      </w:r>
      <w:r>
        <w:instrText xml:space="preserve"> PAGEREF _Toc131671188 \h </w:instrText>
      </w:r>
      <w:r>
        <w:fldChar w:fldCharType="separate"/>
      </w:r>
      <w:r>
        <w:t>100</w:t>
      </w:r>
      <w:r>
        <w:fldChar w:fldCharType="end"/>
      </w:r>
      <w:r>
        <w:fldChar w:fldCharType="end"/>
      </w:r>
    </w:p>
    <w:p>
      <w:pPr>
        <w:pStyle w:val="8"/>
        <w:spacing w:line="283" w:lineRule="auto"/>
        <w:rPr>
          <w:color w:val="auto"/>
          <w:sz w:val="21"/>
          <w:szCs w:val="22"/>
        </w:rPr>
      </w:pPr>
      <w:r>
        <w:fldChar w:fldCharType="begin"/>
      </w:r>
      <w:r>
        <w:instrText xml:space="preserve"> HYPERLINK \l "_Toc131671189" </w:instrText>
      </w:r>
      <w:r>
        <w:fldChar w:fldCharType="separate"/>
      </w:r>
      <w:r>
        <w:rPr>
          <w:rStyle w:val="16"/>
          <w:rFonts w:hint="eastAsia" w:asciiTheme="minorEastAsia" w:hAnsiTheme="minorEastAsia"/>
        </w:rPr>
        <w:t>（二）优化课程思政建设的考核机制</w:t>
      </w:r>
      <w:r>
        <w:tab/>
      </w:r>
      <w:r>
        <w:fldChar w:fldCharType="begin"/>
      </w:r>
      <w:r>
        <w:instrText xml:space="preserve"> PAGEREF _Toc131671189 \h </w:instrText>
      </w:r>
      <w:r>
        <w:fldChar w:fldCharType="separate"/>
      </w:r>
      <w:r>
        <w:t>102</w:t>
      </w:r>
      <w:r>
        <w:fldChar w:fldCharType="end"/>
      </w:r>
      <w:r>
        <w:fldChar w:fldCharType="end"/>
      </w:r>
    </w:p>
    <w:p>
      <w:pPr>
        <w:pStyle w:val="8"/>
        <w:spacing w:line="283" w:lineRule="auto"/>
        <w:rPr>
          <w:color w:val="auto"/>
          <w:sz w:val="21"/>
          <w:szCs w:val="22"/>
        </w:rPr>
      </w:pPr>
      <w:r>
        <w:fldChar w:fldCharType="begin"/>
      </w:r>
      <w:r>
        <w:instrText xml:space="preserve"> HYPERLINK \l "_Toc131671190" </w:instrText>
      </w:r>
      <w:r>
        <w:fldChar w:fldCharType="separate"/>
      </w:r>
      <w:r>
        <w:rPr>
          <w:rStyle w:val="16"/>
          <w:rFonts w:hint="eastAsia" w:asciiTheme="minorEastAsia" w:hAnsiTheme="minorEastAsia"/>
        </w:rPr>
        <w:t>（三）研制课程思政考核指标</w:t>
      </w:r>
      <w:r>
        <w:tab/>
      </w:r>
      <w:r>
        <w:fldChar w:fldCharType="begin"/>
      </w:r>
      <w:r>
        <w:instrText xml:space="preserve"> PAGEREF _Toc131671190 \h </w:instrText>
      </w:r>
      <w:r>
        <w:fldChar w:fldCharType="separate"/>
      </w:r>
      <w:r>
        <w:t>104</w:t>
      </w:r>
      <w:r>
        <w:fldChar w:fldCharType="end"/>
      </w:r>
      <w:r>
        <w:fldChar w:fldCharType="end"/>
      </w:r>
    </w:p>
    <w:p>
      <w:pPr>
        <w:pStyle w:val="8"/>
        <w:spacing w:line="283" w:lineRule="auto"/>
        <w:rPr>
          <w:b/>
          <w:color w:val="auto"/>
          <w:sz w:val="21"/>
          <w:szCs w:val="22"/>
        </w:rPr>
      </w:pPr>
      <w:r>
        <w:fldChar w:fldCharType="begin"/>
      </w:r>
      <w:r>
        <w:instrText xml:space="preserve"> HYPERLINK \l "_Toc131671191" </w:instrText>
      </w:r>
      <w:r>
        <w:fldChar w:fldCharType="separate"/>
      </w:r>
      <w:r>
        <w:rPr>
          <w:rStyle w:val="16"/>
          <w:rFonts w:hint="eastAsia"/>
          <w:b/>
        </w:rPr>
        <w:t>第三部分</w:t>
      </w:r>
      <w:r>
        <w:rPr>
          <w:rStyle w:val="16"/>
          <w:b/>
        </w:rPr>
        <w:t xml:space="preserve">  </w:t>
      </w:r>
      <w:r>
        <w:rPr>
          <w:rStyle w:val="16"/>
          <w:rFonts w:hint="eastAsia"/>
          <w:b/>
        </w:rPr>
        <w:t>课程思政建设掠影</w:t>
      </w:r>
      <w:r>
        <w:rPr>
          <w:b/>
        </w:rPr>
        <w:tab/>
      </w:r>
      <w:r>
        <w:rPr>
          <w:b/>
        </w:rPr>
        <w:fldChar w:fldCharType="begin"/>
      </w:r>
      <w:r>
        <w:rPr>
          <w:b/>
        </w:rPr>
        <w:instrText xml:space="preserve"> PAGEREF _Toc131671191 \h </w:instrText>
      </w:r>
      <w:r>
        <w:rPr>
          <w:b/>
        </w:rPr>
        <w:fldChar w:fldCharType="separate"/>
      </w:r>
      <w:r>
        <w:rPr>
          <w:b/>
        </w:rPr>
        <w:t>106</w:t>
      </w:r>
      <w:r>
        <w:rPr>
          <w:b/>
        </w:rPr>
        <w:fldChar w:fldCharType="end"/>
      </w:r>
      <w:r>
        <w:rPr>
          <w:b/>
        </w:rPr>
        <w:fldChar w:fldCharType="end"/>
      </w:r>
    </w:p>
    <w:p>
      <w:pPr>
        <w:pStyle w:val="8"/>
        <w:spacing w:line="283" w:lineRule="auto"/>
        <w:rPr>
          <w:b/>
          <w:color w:val="auto"/>
          <w:sz w:val="21"/>
          <w:szCs w:val="22"/>
        </w:rPr>
      </w:pPr>
      <w:r>
        <w:fldChar w:fldCharType="begin"/>
      </w:r>
      <w:r>
        <w:instrText xml:space="preserve"> HYPERLINK \l "_Toc131671192" </w:instrText>
      </w:r>
      <w:r>
        <w:fldChar w:fldCharType="separate"/>
      </w:r>
      <w:r>
        <w:rPr>
          <w:rStyle w:val="16"/>
          <w:rFonts w:hint="eastAsia"/>
          <w:b/>
        </w:rPr>
        <w:t>第四部分</w:t>
      </w:r>
      <w:r>
        <w:rPr>
          <w:rStyle w:val="16"/>
          <w:b/>
        </w:rPr>
        <w:t xml:space="preserve">  </w:t>
      </w:r>
      <w:r>
        <w:rPr>
          <w:rStyle w:val="16"/>
          <w:rFonts w:hint="eastAsia"/>
          <w:b/>
        </w:rPr>
        <w:t>附件</w:t>
      </w:r>
      <w:r>
        <w:rPr>
          <w:b/>
        </w:rPr>
        <w:tab/>
      </w:r>
      <w:r>
        <w:rPr>
          <w:b/>
        </w:rPr>
        <w:fldChar w:fldCharType="begin"/>
      </w:r>
      <w:r>
        <w:rPr>
          <w:b/>
        </w:rPr>
        <w:instrText xml:space="preserve"> PAGEREF _Toc131671192 \h </w:instrText>
      </w:r>
      <w:r>
        <w:rPr>
          <w:b/>
        </w:rPr>
        <w:fldChar w:fldCharType="separate"/>
      </w:r>
      <w:r>
        <w:rPr>
          <w:b/>
        </w:rPr>
        <w:t>128</w:t>
      </w:r>
      <w:r>
        <w:rPr>
          <w:b/>
        </w:rPr>
        <w:fldChar w:fldCharType="end"/>
      </w:r>
      <w:r>
        <w:rPr>
          <w:b/>
        </w:rPr>
        <w:fldChar w:fldCharType="end"/>
      </w:r>
    </w:p>
    <w:p>
      <w:pPr>
        <w:pStyle w:val="8"/>
        <w:spacing w:line="283" w:lineRule="auto"/>
        <w:rPr>
          <w:sz w:val="21"/>
          <w:szCs w:val="22"/>
        </w:rPr>
      </w:pPr>
      <w:r>
        <w:rPr>
          <w:rStyle w:val="16"/>
          <w:rFonts w:hint="eastAsia"/>
          <w:color w:val="000000" w:themeColor="text1"/>
          <w:u w:val="none"/>
          <w14:textFill>
            <w14:solidFill>
              <w14:schemeClr w14:val="tx1"/>
            </w14:solidFill>
          </w14:textFill>
        </w:rPr>
        <w:t>附件1：</w:t>
      </w:r>
      <w:r>
        <w:fldChar w:fldCharType="begin"/>
      </w:r>
      <w:r>
        <w:instrText xml:space="preserve"> HYPERLINK \l "_Toc131671193" </w:instrText>
      </w:r>
      <w:r>
        <w:fldChar w:fldCharType="separate"/>
      </w:r>
      <w:r>
        <w:rPr>
          <w:rStyle w:val="16"/>
          <w:rFonts w:hint="eastAsia" w:asciiTheme="minorEastAsia" w:hAnsiTheme="minorEastAsia"/>
          <w:color w:val="000000" w:themeColor="text1"/>
          <w:u w:val="none"/>
          <w14:textFill>
            <w14:solidFill>
              <w14:schemeClr w14:val="tx1"/>
            </w14:solidFill>
          </w14:textFill>
        </w:rPr>
        <w:t>上海应用技术大学课程思政“十四五”专项发展规划</w:t>
      </w:r>
      <w:r>
        <w:tab/>
      </w:r>
      <w:r>
        <w:fldChar w:fldCharType="begin"/>
      </w:r>
      <w:r>
        <w:instrText xml:space="preserve"> PAGEREF _Toc131671193 \h </w:instrText>
      </w:r>
      <w:r>
        <w:fldChar w:fldCharType="separate"/>
      </w:r>
      <w:r>
        <w:t>129</w:t>
      </w:r>
      <w:r>
        <w:fldChar w:fldCharType="end"/>
      </w:r>
      <w:r>
        <w:fldChar w:fldCharType="end"/>
      </w:r>
    </w:p>
    <w:p>
      <w:pPr>
        <w:pStyle w:val="8"/>
        <w:spacing w:line="283" w:lineRule="auto"/>
        <w:rPr>
          <w:sz w:val="21"/>
          <w:szCs w:val="22"/>
        </w:rPr>
      </w:pPr>
      <w:r>
        <w:rPr>
          <w:rStyle w:val="16"/>
          <w:rFonts w:hint="eastAsia"/>
          <w:color w:val="000000" w:themeColor="text1"/>
          <w:u w:val="none"/>
          <w14:textFill>
            <w14:solidFill>
              <w14:schemeClr w14:val="tx1"/>
            </w14:solidFill>
          </w14:textFill>
        </w:rPr>
        <w:t>附件2：</w:t>
      </w:r>
      <w:r>
        <w:fldChar w:fldCharType="begin"/>
      </w:r>
      <w:r>
        <w:instrText xml:space="preserve"> HYPERLINK \l "_Toc131671194" </w:instrText>
      </w:r>
      <w:r>
        <w:fldChar w:fldCharType="separate"/>
      </w:r>
      <w:r>
        <w:rPr>
          <w:rStyle w:val="16"/>
          <w:rFonts w:hint="eastAsia" w:asciiTheme="minorEastAsia" w:hAnsiTheme="minorEastAsia"/>
          <w:color w:val="000000" w:themeColor="text1"/>
          <w:u w:val="none"/>
          <w14:textFill>
            <w14:solidFill>
              <w14:schemeClr w14:val="tx1"/>
            </w14:solidFill>
          </w14:textFill>
        </w:rPr>
        <w:t>上海应用技术大学课程思政领航校</w:t>
      </w:r>
      <w:r>
        <w:rPr>
          <w:rStyle w:val="16"/>
          <w:rFonts w:asciiTheme="minorEastAsia" w:hAnsiTheme="minorEastAsia"/>
          <w:color w:val="000000" w:themeColor="text1"/>
          <w:u w:val="none"/>
          <w14:textFill>
            <w14:solidFill>
              <w14:schemeClr w14:val="tx1"/>
            </w14:solidFill>
          </w14:textFill>
        </w:rPr>
        <w:t>2020</w:t>
      </w:r>
      <w:r>
        <w:rPr>
          <w:rStyle w:val="16"/>
          <w:rFonts w:hint="eastAsia" w:asciiTheme="minorEastAsia" w:hAnsiTheme="minorEastAsia"/>
          <w:color w:val="000000" w:themeColor="text1"/>
          <w:u w:val="none"/>
          <w14:textFill>
            <w14:solidFill>
              <w14:schemeClr w14:val="tx1"/>
            </w14:solidFill>
          </w14:textFill>
        </w:rPr>
        <w:t>年建设进展报告</w:t>
      </w:r>
      <w:r>
        <w:tab/>
      </w:r>
      <w:r>
        <w:fldChar w:fldCharType="begin"/>
      </w:r>
      <w:r>
        <w:instrText xml:space="preserve"> PAGEREF _Toc131671194 \h </w:instrText>
      </w:r>
      <w:r>
        <w:fldChar w:fldCharType="separate"/>
      </w:r>
      <w:r>
        <w:t>134</w:t>
      </w:r>
      <w:r>
        <w:fldChar w:fldCharType="end"/>
      </w:r>
      <w:r>
        <w:fldChar w:fldCharType="end"/>
      </w:r>
    </w:p>
    <w:p>
      <w:pPr>
        <w:pStyle w:val="8"/>
        <w:spacing w:line="283" w:lineRule="auto"/>
        <w:rPr>
          <w:sz w:val="21"/>
          <w:szCs w:val="22"/>
        </w:rPr>
      </w:pPr>
      <w:r>
        <w:rPr>
          <w:rStyle w:val="16"/>
          <w:rFonts w:hint="eastAsia"/>
          <w:color w:val="000000" w:themeColor="text1"/>
          <w:u w:val="none"/>
          <w14:textFill>
            <w14:solidFill>
              <w14:schemeClr w14:val="tx1"/>
            </w14:solidFill>
          </w14:textFill>
        </w:rPr>
        <w:t>附件3：</w:t>
      </w:r>
      <w:r>
        <w:fldChar w:fldCharType="begin"/>
      </w:r>
      <w:r>
        <w:instrText xml:space="preserve"> HYPERLINK \l "_Toc131671195" </w:instrText>
      </w:r>
      <w:r>
        <w:fldChar w:fldCharType="separate"/>
      </w:r>
      <w:r>
        <w:rPr>
          <w:rStyle w:val="16"/>
          <w:rFonts w:hint="eastAsia" w:asciiTheme="minorEastAsia" w:hAnsiTheme="minorEastAsia"/>
          <w:color w:val="000000" w:themeColor="text1"/>
          <w:u w:val="none"/>
          <w14:textFill>
            <w14:solidFill>
              <w14:schemeClr w14:val="tx1"/>
            </w14:solidFill>
          </w14:textFill>
        </w:rPr>
        <w:t>上海应用技术大学课程思政领航校</w:t>
      </w:r>
      <w:r>
        <w:rPr>
          <w:rStyle w:val="16"/>
          <w:rFonts w:asciiTheme="minorEastAsia" w:hAnsiTheme="minorEastAsia"/>
          <w:color w:val="000000" w:themeColor="text1"/>
          <w:u w:val="none"/>
          <w14:textFill>
            <w14:solidFill>
              <w14:schemeClr w14:val="tx1"/>
            </w14:solidFill>
          </w14:textFill>
        </w:rPr>
        <w:t>2021</w:t>
      </w:r>
      <w:r>
        <w:rPr>
          <w:rStyle w:val="16"/>
          <w:rFonts w:hint="eastAsia" w:asciiTheme="minorEastAsia" w:hAnsiTheme="minorEastAsia"/>
          <w:color w:val="000000" w:themeColor="text1"/>
          <w:u w:val="none"/>
          <w14:textFill>
            <w14:solidFill>
              <w14:schemeClr w14:val="tx1"/>
            </w14:solidFill>
          </w14:textFill>
        </w:rPr>
        <w:t>年建设进展报告</w:t>
      </w:r>
      <w:r>
        <w:tab/>
      </w:r>
      <w:r>
        <w:fldChar w:fldCharType="begin"/>
      </w:r>
      <w:r>
        <w:instrText xml:space="preserve"> PAGEREF _Toc131671195 \h </w:instrText>
      </w:r>
      <w:r>
        <w:fldChar w:fldCharType="separate"/>
      </w:r>
      <w:r>
        <w:t>142</w:t>
      </w:r>
      <w:r>
        <w:fldChar w:fldCharType="end"/>
      </w:r>
      <w:r>
        <w:fldChar w:fldCharType="end"/>
      </w:r>
    </w:p>
    <w:p>
      <w:pPr>
        <w:pStyle w:val="8"/>
        <w:spacing w:line="283" w:lineRule="auto"/>
        <w:rPr>
          <w:sz w:val="21"/>
          <w:szCs w:val="22"/>
        </w:rPr>
      </w:pPr>
      <w:r>
        <w:rPr>
          <w:rStyle w:val="16"/>
          <w:rFonts w:hint="eastAsia"/>
          <w:color w:val="000000" w:themeColor="text1"/>
          <w:u w:val="none"/>
          <w14:textFill>
            <w14:solidFill>
              <w14:schemeClr w14:val="tx1"/>
            </w14:solidFill>
          </w14:textFill>
        </w:rPr>
        <w:t>附件4：</w:t>
      </w:r>
      <w:r>
        <w:fldChar w:fldCharType="begin"/>
      </w:r>
      <w:r>
        <w:instrText xml:space="preserve"> HYPERLINK \l "_Toc131671196" </w:instrText>
      </w:r>
      <w:r>
        <w:fldChar w:fldCharType="separate"/>
      </w:r>
      <w:r>
        <w:rPr>
          <w:rStyle w:val="16"/>
          <w:rFonts w:hint="eastAsia" w:asciiTheme="minorEastAsia" w:hAnsiTheme="minorEastAsia"/>
          <w:color w:val="000000" w:themeColor="text1"/>
          <w:u w:val="none"/>
          <w14:textFill>
            <w14:solidFill>
              <w14:schemeClr w14:val="tx1"/>
            </w14:solidFill>
          </w14:textFill>
        </w:rPr>
        <w:t>上海应用技术大学课程思政领航校</w:t>
      </w:r>
      <w:r>
        <w:rPr>
          <w:rStyle w:val="16"/>
          <w:rFonts w:asciiTheme="minorEastAsia" w:hAnsiTheme="minorEastAsia"/>
          <w:color w:val="000000" w:themeColor="text1"/>
          <w:u w:val="none"/>
          <w14:textFill>
            <w14:solidFill>
              <w14:schemeClr w14:val="tx1"/>
            </w14:solidFill>
          </w14:textFill>
        </w:rPr>
        <w:t>2022</w:t>
      </w:r>
      <w:r>
        <w:rPr>
          <w:rStyle w:val="16"/>
          <w:rFonts w:hint="eastAsia" w:asciiTheme="minorEastAsia" w:hAnsiTheme="minorEastAsia"/>
          <w:color w:val="000000" w:themeColor="text1"/>
          <w:u w:val="none"/>
          <w14:textFill>
            <w14:solidFill>
              <w14:schemeClr w14:val="tx1"/>
            </w14:solidFill>
          </w14:textFill>
        </w:rPr>
        <w:t>年建设进展报告</w:t>
      </w:r>
      <w:r>
        <w:tab/>
      </w:r>
      <w:r>
        <w:fldChar w:fldCharType="begin"/>
      </w:r>
      <w:r>
        <w:instrText xml:space="preserve"> PAGEREF _Toc131671196 \h </w:instrText>
      </w:r>
      <w:r>
        <w:fldChar w:fldCharType="separate"/>
      </w:r>
      <w:r>
        <w:t>156</w:t>
      </w:r>
      <w:r>
        <w:fldChar w:fldCharType="end"/>
      </w:r>
      <w:r>
        <w:fldChar w:fldCharType="end"/>
      </w:r>
    </w:p>
    <w:p>
      <w:pPr>
        <w:pStyle w:val="8"/>
        <w:spacing w:line="283" w:lineRule="auto"/>
        <w:rPr>
          <w:sz w:val="21"/>
          <w:szCs w:val="22"/>
        </w:rPr>
      </w:pPr>
      <w:r>
        <w:rPr>
          <w:rStyle w:val="16"/>
          <w:rFonts w:hint="eastAsia"/>
          <w:color w:val="000000" w:themeColor="text1"/>
          <w:u w:val="none"/>
          <w14:textFill>
            <w14:solidFill>
              <w14:schemeClr w14:val="tx1"/>
            </w14:solidFill>
          </w14:textFill>
        </w:rPr>
        <w:t>附件5：</w:t>
      </w:r>
      <w:r>
        <w:fldChar w:fldCharType="begin"/>
      </w:r>
      <w:r>
        <w:instrText xml:space="preserve"> HYPERLINK \l "_Toc131671197" </w:instrText>
      </w:r>
      <w:r>
        <w:fldChar w:fldCharType="separate"/>
      </w:r>
      <w:r>
        <w:rPr>
          <w:rStyle w:val="16"/>
          <w:rFonts w:hint="eastAsia" w:asciiTheme="minorEastAsia" w:hAnsiTheme="minorEastAsia"/>
          <w:color w:val="000000" w:themeColor="text1"/>
          <w:u w:val="none"/>
          <w14:textFill>
            <w14:solidFill>
              <w14:schemeClr w14:val="tx1"/>
            </w14:solidFill>
          </w14:textFill>
        </w:rPr>
        <w:t>课程思政教学研究示范中心申报书（选摘）</w:t>
      </w:r>
      <w:r>
        <w:tab/>
      </w:r>
      <w:r>
        <w:fldChar w:fldCharType="begin"/>
      </w:r>
      <w:r>
        <w:instrText xml:space="preserve"> PAGEREF _Toc131671197 \h </w:instrText>
      </w:r>
      <w:r>
        <w:fldChar w:fldCharType="separate"/>
      </w:r>
      <w:r>
        <w:t>163</w:t>
      </w:r>
      <w:r>
        <w:fldChar w:fldCharType="end"/>
      </w:r>
      <w:r>
        <w:fldChar w:fldCharType="end"/>
      </w:r>
    </w:p>
    <w:p>
      <w:pPr>
        <w:spacing w:line="283" w:lineRule="auto"/>
        <w:sectPr>
          <w:footerReference r:id="rId3" w:type="default"/>
          <w:pgSz w:w="11906" w:h="16838"/>
          <w:pgMar w:top="1440" w:right="1800" w:bottom="1440" w:left="1800" w:header="851" w:footer="992" w:gutter="0"/>
          <w:cols w:space="425" w:num="1"/>
          <w:docGrid w:type="lines" w:linePitch="312" w:charSpace="0"/>
        </w:sectPr>
      </w:pPr>
      <w:r>
        <w:fldChar w:fldCharType="end"/>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r>
        <w:rPr>
          <w:rFonts w:hint="eastAsia"/>
        </w:rPr>
        <w:t xml:space="preserve"> </w:t>
      </w:r>
    </w:p>
    <w:p>
      <w:pPr>
        <w:spacing w:line="360" w:lineRule="auto"/>
      </w:pPr>
    </w:p>
    <w:p>
      <w:pPr>
        <w:spacing w:line="360" w:lineRule="auto"/>
      </w:pPr>
    </w:p>
    <w:p>
      <w:pPr>
        <w:pStyle w:val="2"/>
        <w:spacing w:line="360" w:lineRule="auto"/>
        <w:jc w:val="center"/>
        <w:rPr>
          <w:sz w:val="36"/>
          <w:szCs w:val="36"/>
        </w:rPr>
      </w:pPr>
      <w:bookmarkStart w:id="0" w:name="_Toc131671165"/>
      <w:r>
        <w:rPr>
          <w:rFonts w:hint="eastAsia"/>
          <w:sz w:val="36"/>
          <w:szCs w:val="36"/>
        </w:rPr>
        <w:t>第一部分  课程思政顶层设计</w:t>
      </w:r>
      <w:bookmarkEnd w:id="0"/>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widowControl/>
        <w:spacing w:line="360" w:lineRule="auto"/>
        <w:jc w:val="left"/>
      </w:pPr>
      <w:r>
        <w:br w:type="page"/>
      </w:r>
    </w:p>
    <w:p>
      <w:pPr>
        <w:pStyle w:val="2"/>
        <w:spacing w:before="0" w:after="0" w:line="360" w:lineRule="auto"/>
        <w:jc w:val="center"/>
        <w:rPr>
          <w:rFonts w:asciiTheme="minorEastAsia" w:hAnsiTheme="minorEastAsia"/>
          <w:sz w:val="30"/>
          <w:szCs w:val="30"/>
        </w:rPr>
      </w:pPr>
      <w:bookmarkStart w:id="1" w:name="_Toc131671166"/>
      <w:r>
        <w:rPr>
          <w:rFonts w:hint="eastAsia" w:asciiTheme="minorEastAsia" w:hAnsiTheme="minorEastAsia"/>
          <w:sz w:val="30"/>
          <w:szCs w:val="30"/>
        </w:rPr>
        <w:t>全面推进以“厚德精技 守正创新”为统领的课程思政改革</w:t>
      </w:r>
      <w:bookmarkEnd w:id="1"/>
    </w:p>
    <w:p>
      <w:pPr>
        <w:spacing w:line="360" w:lineRule="auto"/>
        <w:jc w:val="center"/>
        <w:rPr>
          <w:rFonts w:ascii="华文仿宋" w:hAnsi="华文仿宋" w:eastAsia="华文仿宋"/>
          <w:b/>
          <w:sz w:val="28"/>
          <w:szCs w:val="32"/>
        </w:rPr>
      </w:pPr>
      <w:r>
        <w:rPr>
          <w:rFonts w:hint="eastAsia" w:ascii="华文仿宋" w:hAnsi="华文仿宋" w:eastAsia="华文仿宋"/>
          <w:b/>
          <w:sz w:val="28"/>
          <w:szCs w:val="32"/>
        </w:rPr>
        <w:t>上海应用技术大学党委书记  郭庆松</w:t>
      </w:r>
    </w:p>
    <w:p>
      <w:pPr>
        <w:spacing w:line="360" w:lineRule="auto"/>
        <w:rPr>
          <w:rFonts w:asciiTheme="minorEastAsia" w:hAnsiTheme="minorEastAsia"/>
          <w:sz w:val="28"/>
          <w:szCs w:val="28"/>
        </w:rPr>
      </w:pPr>
      <w:r>
        <w:rPr>
          <w:rFonts w:hint="eastAsia" w:asciiTheme="minorEastAsia" w:hAnsiTheme="minorEastAsia"/>
          <w:sz w:val="28"/>
          <w:szCs w:val="28"/>
        </w:rPr>
        <w:t>（2020年上海高校课程思政教育教学改革工作推进会交流发言）</w:t>
      </w:r>
    </w:p>
    <w:p>
      <w:pPr>
        <w:spacing w:line="360" w:lineRule="auto"/>
        <w:rPr>
          <w:rFonts w:asciiTheme="minorEastAsia" w:hAnsiTheme="minorEastAsia"/>
          <w:sz w:val="28"/>
          <w:szCs w:val="28"/>
        </w:rPr>
      </w:pPr>
    </w:p>
    <w:p>
      <w:pPr>
        <w:pStyle w:val="10"/>
        <w:adjustRightInd w:val="0"/>
        <w:snapToGrid w:val="0"/>
        <w:spacing w:before="0" w:beforeAutospacing="0" w:after="0" w:afterAutospacing="0" w:line="360" w:lineRule="auto"/>
        <w:ind w:firstLine="560" w:firstLineChars="200"/>
        <w:rPr>
          <w:sz w:val="28"/>
          <w:szCs w:val="28"/>
        </w:rPr>
      </w:pPr>
      <w:r>
        <w:rPr>
          <w:rFonts w:hint="eastAsia"/>
          <w:sz w:val="28"/>
          <w:szCs w:val="28"/>
        </w:rPr>
        <w:t>作为全国第一所以“应用技术”命名的市属重点建设的应用创新型本科高校，上海</w:t>
      </w:r>
      <w:r>
        <w:rPr>
          <w:sz w:val="28"/>
          <w:szCs w:val="28"/>
        </w:rPr>
        <w:t>应用技术大学</w:t>
      </w:r>
      <w:r>
        <w:rPr>
          <w:rFonts w:hint="eastAsia"/>
          <w:sz w:val="28"/>
          <w:szCs w:val="28"/>
        </w:rPr>
        <w:t>始终坚持以立德树人为根本使命，切实把“厚德精技、守正创新”贯穿改革建设全过程，着力培养具有理想信念、家国情怀、过硬本领、责任担当的高素质应用</w:t>
      </w:r>
      <w:r>
        <w:rPr>
          <w:sz w:val="28"/>
          <w:szCs w:val="28"/>
        </w:rPr>
        <w:t>创新型</w:t>
      </w:r>
      <w:r>
        <w:rPr>
          <w:rFonts w:hint="eastAsia"/>
          <w:sz w:val="28"/>
          <w:szCs w:val="28"/>
        </w:rPr>
        <w:t>人才。</w:t>
      </w:r>
    </w:p>
    <w:p>
      <w:pPr>
        <w:pStyle w:val="10"/>
        <w:adjustRightInd w:val="0"/>
        <w:snapToGrid w:val="0"/>
        <w:spacing w:before="0" w:beforeAutospacing="0" w:after="0" w:afterAutospacing="0" w:line="360" w:lineRule="auto"/>
        <w:ind w:firstLine="562" w:firstLineChars="200"/>
        <w:rPr>
          <w:b/>
          <w:sz w:val="28"/>
          <w:szCs w:val="28"/>
        </w:rPr>
      </w:pPr>
      <w:r>
        <w:rPr>
          <w:rFonts w:hint="eastAsia"/>
          <w:b/>
          <w:sz w:val="28"/>
          <w:szCs w:val="28"/>
        </w:rPr>
        <w:t>一</w:t>
      </w:r>
      <w:r>
        <w:rPr>
          <w:b/>
          <w:sz w:val="28"/>
          <w:szCs w:val="28"/>
        </w:rPr>
        <w:t>、</w:t>
      </w:r>
      <w:r>
        <w:rPr>
          <w:rFonts w:hint="eastAsia"/>
          <w:b/>
          <w:sz w:val="28"/>
          <w:szCs w:val="28"/>
        </w:rPr>
        <w:t>基于“应用创新”深化</w:t>
      </w:r>
      <w:r>
        <w:rPr>
          <w:b/>
          <w:sz w:val="28"/>
          <w:szCs w:val="28"/>
        </w:rPr>
        <w:t>课程思政</w:t>
      </w:r>
      <w:r>
        <w:rPr>
          <w:rFonts w:hint="eastAsia"/>
          <w:b/>
          <w:sz w:val="28"/>
          <w:szCs w:val="28"/>
        </w:rPr>
        <w:t>改革的</w:t>
      </w:r>
      <w:r>
        <w:rPr>
          <w:b/>
          <w:sz w:val="28"/>
          <w:szCs w:val="28"/>
        </w:rPr>
        <w:t>顶层设计</w:t>
      </w:r>
    </w:p>
    <w:p>
      <w:pPr>
        <w:pStyle w:val="10"/>
        <w:adjustRightInd w:val="0"/>
        <w:snapToGrid w:val="0"/>
        <w:spacing w:before="0" w:beforeAutospacing="0" w:after="0" w:afterAutospacing="0" w:line="360" w:lineRule="auto"/>
        <w:ind w:firstLine="562" w:firstLineChars="200"/>
        <w:rPr>
          <w:b/>
          <w:sz w:val="28"/>
          <w:szCs w:val="28"/>
        </w:rPr>
      </w:pPr>
      <w:r>
        <w:rPr>
          <w:rFonts w:hint="eastAsia"/>
          <w:b/>
          <w:sz w:val="28"/>
          <w:szCs w:val="28"/>
        </w:rPr>
        <w:t>（一）紧扣改革目标方向</w:t>
      </w:r>
      <w:r>
        <w:rPr>
          <w:b/>
          <w:sz w:val="28"/>
          <w:szCs w:val="28"/>
        </w:rPr>
        <w:t>，解决</w:t>
      </w:r>
      <w:r>
        <w:rPr>
          <w:rFonts w:hint="eastAsia"/>
          <w:b/>
          <w:sz w:val="28"/>
          <w:szCs w:val="28"/>
        </w:rPr>
        <w:t>育</w:t>
      </w:r>
      <w:r>
        <w:rPr>
          <w:b/>
          <w:sz w:val="28"/>
          <w:szCs w:val="28"/>
        </w:rPr>
        <w:t>什么德的</w:t>
      </w:r>
      <w:r>
        <w:rPr>
          <w:rFonts w:hint="eastAsia"/>
          <w:b/>
          <w:sz w:val="28"/>
          <w:szCs w:val="28"/>
        </w:rPr>
        <w:t>根本</w:t>
      </w:r>
      <w:r>
        <w:rPr>
          <w:b/>
          <w:sz w:val="28"/>
          <w:szCs w:val="28"/>
        </w:rPr>
        <w:t>问题</w:t>
      </w:r>
    </w:p>
    <w:p>
      <w:pPr>
        <w:pStyle w:val="10"/>
        <w:adjustRightInd w:val="0"/>
        <w:snapToGrid w:val="0"/>
        <w:spacing w:before="0" w:beforeAutospacing="0" w:after="0" w:afterAutospacing="0" w:line="360" w:lineRule="auto"/>
        <w:ind w:firstLine="560" w:firstLineChars="200"/>
        <w:rPr>
          <w:sz w:val="28"/>
          <w:szCs w:val="28"/>
        </w:rPr>
      </w:pPr>
      <w:r>
        <w:rPr>
          <w:rFonts w:hint="eastAsia"/>
          <w:sz w:val="28"/>
          <w:szCs w:val="28"/>
        </w:rPr>
        <w:t>学校围绕“厚德”和“精技”两个关键点，全面细化课程思政所应承担的功能任务，确立应用创新型人才思想政治核心素养32个要点和未来工程师ASciT（爱科技）9大关键能力，切实将做人做事的基本道理、社会主义核心价值观的基本要求、实现中华民族伟大复兴中国梦的使命担当以及马克思主义的基本立场观点方法贯穿到各门课程中。</w:t>
      </w:r>
    </w:p>
    <w:p>
      <w:pPr>
        <w:pStyle w:val="10"/>
        <w:adjustRightInd w:val="0"/>
        <w:snapToGrid w:val="0"/>
        <w:spacing w:before="0" w:beforeAutospacing="0" w:after="0" w:afterAutospacing="0" w:line="360" w:lineRule="auto"/>
        <w:ind w:firstLine="562" w:firstLineChars="200"/>
        <w:rPr>
          <w:b/>
          <w:sz w:val="28"/>
          <w:szCs w:val="28"/>
        </w:rPr>
      </w:pPr>
      <w:r>
        <w:rPr>
          <w:rFonts w:hint="eastAsia"/>
          <w:b/>
          <w:sz w:val="28"/>
          <w:szCs w:val="28"/>
        </w:rPr>
        <w:t>（二）把握改革核心要素</w:t>
      </w:r>
      <w:r>
        <w:rPr>
          <w:b/>
          <w:sz w:val="28"/>
          <w:szCs w:val="28"/>
        </w:rPr>
        <w:t>，解决</w:t>
      </w:r>
      <w:r>
        <w:rPr>
          <w:rFonts w:hint="eastAsia"/>
          <w:b/>
          <w:sz w:val="28"/>
          <w:szCs w:val="28"/>
        </w:rPr>
        <w:t>怎么</w:t>
      </w:r>
      <w:r>
        <w:rPr>
          <w:b/>
          <w:sz w:val="28"/>
          <w:szCs w:val="28"/>
        </w:rPr>
        <w:t>建的</w:t>
      </w:r>
      <w:r>
        <w:rPr>
          <w:rFonts w:hint="eastAsia"/>
          <w:b/>
          <w:sz w:val="28"/>
          <w:szCs w:val="28"/>
        </w:rPr>
        <w:t>关键</w:t>
      </w:r>
      <w:r>
        <w:rPr>
          <w:b/>
          <w:sz w:val="28"/>
          <w:szCs w:val="28"/>
        </w:rPr>
        <w:t>问题</w:t>
      </w:r>
    </w:p>
    <w:p>
      <w:pPr>
        <w:pStyle w:val="10"/>
        <w:adjustRightInd w:val="0"/>
        <w:snapToGrid w:val="0"/>
        <w:spacing w:before="0" w:beforeAutospacing="0" w:after="0" w:afterAutospacing="0" w:line="360" w:lineRule="auto"/>
        <w:ind w:firstLine="560" w:firstLineChars="200"/>
        <w:rPr>
          <w:sz w:val="28"/>
          <w:szCs w:val="28"/>
        </w:rPr>
      </w:pPr>
      <w:r>
        <w:rPr>
          <w:rFonts w:hint="eastAsia"/>
          <w:sz w:val="28"/>
          <w:szCs w:val="28"/>
        </w:rPr>
        <w:t>学校实施</w:t>
      </w:r>
      <w:r>
        <w:rPr>
          <w:sz w:val="28"/>
          <w:szCs w:val="28"/>
        </w:rPr>
        <w:t>课程思政五大工程</w:t>
      </w:r>
      <w:r>
        <w:rPr>
          <w:rFonts w:hint="eastAsia"/>
          <w:sz w:val="28"/>
          <w:szCs w:val="28"/>
        </w:rPr>
        <w:t>。一是课程思政“金课”建设工程，以</w:t>
      </w:r>
      <w:r>
        <w:rPr>
          <w:sz w:val="28"/>
          <w:szCs w:val="28"/>
        </w:rPr>
        <w:t>课程思政赋能“</w:t>
      </w:r>
      <w:r>
        <w:rPr>
          <w:rFonts w:hint="eastAsia"/>
          <w:sz w:val="28"/>
          <w:szCs w:val="28"/>
        </w:rPr>
        <w:t>金课</w:t>
      </w:r>
      <w:r>
        <w:rPr>
          <w:sz w:val="28"/>
          <w:szCs w:val="28"/>
        </w:rPr>
        <w:t>”</w:t>
      </w:r>
      <w:r>
        <w:rPr>
          <w:rFonts w:hint="eastAsia"/>
          <w:sz w:val="28"/>
          <w:szCs w:val="28"/>
        </w:rPr>
        <w:t>建设</w:t>
      </w:r>
      <w:r>
        <w:rPr>
          <w:sz w:val="28"/>
          <w:szCs w:val="28"/>
        </w:rPr>
        <w:t>，让课程</w:t>
      </w:r>
      <w:r>
        <w:rPr>
          <w:rFonts w:hint="eastAsia"/>
          <w:sz w:val="28"/>
          <w:szCs w:val="28"/>
        </w:rPr>
        <w:t>“情理交融”。二是课程思政名师培育工程，组织高阶性研修</w:t>
      </w:r>
      <w:r>
        <w:rPr>
          <w:sz w:val="28"/>
          <w:szCs w:val="28"/>
        </w:rPr>
        <w:t>让教师</w:t>
      </w:r>
      <w:r>
        <w:rPr>
          <w:rFonts w:hint="eastAsia"/>
          <w:sz w:val="28"/>
          <w:szCs w:val="28"/>
        </w:rPr>
        <w:t>学会</w:t>
      </w:r>
      <w:r>
        <w:rPr>
          <w:sz w:val="28"/>
          <w:szCs w:val="28"/>
        </w:rPr>
        <w:t>“</w:t>
      </w:r>
      <w:r>
        <w:rPr>
          <w:rFonts w:hint="eastAsia"/>
          <w:sz w:val="28"/>
          <w:szCs w:val="28"/>
        </w:rPr>
        <w:t>以道驭术</w:t>
      </w:r>
      <w:r>
        <w:rPr>
          <w:sz w:val="28"/>
          <w:szCs w:val="28"/>
        </w:rPr>
        <w:t>”</w:t>
      </w:r>
      <w:r>
        <w:rPr>
          <w:rFonts w:hint="eastAsia"/>
          <w:sz w:val="28"/>
          <w:szCs w:val="28"/>
        </w:rPr>
        <w:t>。三是课程思政质量保障工程，加强全流程“闭环管理”</w:t>
      </w:r>
      <w:r>
        <w:rPr>
          <w:sz w:val="28"/>
          <w:szCs w:val="28"/>
        </w:rPr>
        <w:t>。</w:t>
      </w:r>
      <w:r>
        <w:rPr>
          <w:rFonts w:hint="eastAsia"/>
          <w:sz w:val="28"/>
          <w:szCs w:val="28"/>
        </w:rPr>
        <w:t>四</w:t>
      </w:r>
      <w:r>
        <w:rPr>
          <w:sz w:val="28"/>
          <w:szCs w:val="28"/>
        </w:rPr>
        <w:t>是</w:t>
      </w:r>
      <w:r>
        <w:rPr>
          <w:rFonts w:hint="eastAsia"/>
          <w:sz w:val="28"/>
          <w:szCs w:val="28"/>
        </w:rPr>
        <w:t>课程思政理论研究工程，深化价值观引领“基因式”植入所有课程的规律性</w:t>
      </w:r>
      <w:r>
        <w:rPr>
          <w:sz w:val="28"/>
          <w:szCs w:val="28"/>
        </w:rPr>
        <w:t>认识</w:t>
      </w:r>
      <w:r>
        <w:rPr>
          <w:rFonts w:hint="eastAsia"/>
          <w:sz w:val="28"/>
          <w:szCs w:val="28"/>
        </w:rPr>
        <w:t>。</w:t>
      </w:r>
      <w:r>
        <w:rPr>
          <w:sz w:val="28"/>
          <w:szCs w:val="28"/>
        </w:rPr>
        <w:t>五是</w:t>
      </w:r>
      <w:r>
        <w:rPr>
          <w:rFonts w:hint="eastAsia"/>
          <w:sz w:val="28"/>
          <w:szCs w:val="28"/>
        </w:rPr>
        <w:t>课程思政考核激励工程，全面</w:t>
      </w:r>
      <w:r>
        <w:rPr>
          <w:sz w:val="28"/>
          <w:szCs w:val="28"/>
        </w:rPr>
        <w:t>筑牢课程思政的</w:t>
      </w:r>
      <w:r>
        <w:rPr>
          <w:rFonts w:hint="eastAsia"/>
          <w:sz w:val="28"/>
          <w:szCs w:val="28"/>
        </w:rPr>
        <w:t>考核</w:t>
      </w:r>
      <w:r>
        <w:rPr>
          <w:sz w:val="28"/>
          <w:szCs w:val="28"/>
        </w:rPr>
        <w:t>制度根基</w:t>
      </w:r>
      <w:r>
        <w:rPr>
          <w:rFonts w:hint="eastAsia"/>
          <w:sz w:val="28"/>
          <w:szCs w:val="28"/>
        </w:rPr>
        <w:t>。</w:t>
      </w:r>
    </w:p>
    <w:p>
      <w:pPr>
        <w:pStyle w:val="10"/>
        <w:adjustRightInd w:val="0"/>
        <w:snapToGrid w:val="0"/>
        <w:spacing w:before="0" w:beforeAutospacing="0" w:after="0" w:afterAutospacing="0" w:line="360" w:lineRule="auto"/>
        <w:ind w:firstLine="562" w:firstLineChars="200"/>
        <w:rPr>
          <w:b/>
          <w:sz w:val="28"/>
          <w:szCs w:val="28"/>
        </w:rPr>
      </w:pPr>
      <w:r>
        <w:rPr>
          <w:rFonts w:hint="eastAsia"/>
          <w:b/>
          <w:sz w:val="28"/>
          <w:szCs w:val="28"/>
        </w:rPr>
        <w:t>二</w:t>
      </w:r>
      <w:r>
        <w:rPr>
          <w:b/>
          <w:sz w:val="28"/>
          <w:szCs w:val="28"/>
        </w:rPr>
        <w:t>、</w:t>
      </w:r>
      <w:r>
        <w:rPr>
          <w:rFonts w:hint="eastAsia"/>
          <w:b/>
          <w:sz w:val="28"/>
          <w:szCs w:val="28"/>
        </w:rPr>
        <w:t>聚焦“关键环节”创新课程思政改革的重点</w:t>
      </w:r>
      <w:r>
        <w:rPr>
          <w:b/>
          <w:sz w:val="28"/>
          <w:szCs w:val="28"/>
        </w:rPr>
        <w:t>举措</w:t>
      </w:r>
    </w:p>
    <w:p>
      <w:pPr>
        <w:pStyle w:val="10"/>
        <w:adjustRightInd w:val="0"/>
        <w:snapToGrid w:val="0"/>
        <w:spacing w:before="0" w:beforeAutospacing="0" w:after="0" w:afterAutospacing="0" w:line="360" w:lineRule="auto"/>
        <w:ind w:firstLine="562" w:firstLineChars="200"/>
        <w:rPr>
          <w:b/>
          <w:sz w:val="28"/>
          <w:szCs w:val="28"/>
        </w:rPr>
      </w:pPr>
      <w:r>
        <w:rPr>
          <w:rFonts w:hint="eastAsia"/>
          <w:b/>
          <w:sz w:val="28"/>
          <w:szCs w:val="28"/>
        </w:rPr>
        <w:t>（一）以“</w:t>
      </w:r>
      <w:r>
        <w:rPr>
          <w:b/>
          <w:sz w:val="28"/>
          <w:szCs w:val="28"/>
        </w:rPr>
        <w:t>ASciT</w:t>
      </w:r>
      <w:r>
        <w:rPr>
          <w:rFonts w:hint="eastAsia"/>
          <w:b/>
          <w:sz w:val="28"/>
          <w:szCs w:val="28"/>
        </w:rPr>
        <w:t>—</w:t>
      </w:r>
      <w:r>
        <w:rPr>
          <w:b/>
          <w:sz w:val="28"/>
          <w:szCs w:val="28"/>
        </w:rPr>
        <w:t>OBE</w:t>
      </w:r>
      <w:r>
        <w:rPr>
          <w:rFonts w:hint="eastAsia"/>
          <w:b/>
          <w:sz w:val="28"/>
          <w:szCs w:val="28"/>
        </w:rPr>
        <w:t>”培养模式</w:t>
      </w:r>
      <w:r>
        <w:rPr>
          <w:b/>
          <w:sz w:val="28"/>
          <w:szCs w:val="28"/>
        </w:rPr>
        <w:t>改革带动</w:t>
      </w:r>
      <w:r>
        <w:rPr>
          <w:rFonts w:hint="eastAsia"/>
          <w:b/>
          <w:sz w:val="28"/>
          <w:szCs w:val="28"/>
        </w:rPr>
        <w:t>课程思政</w:t>
      </w:r>
      <w:r>
        <w:rPr>
          <w:b/>
          <w:sz w:val="28"/>
          <w:szCs w:val="28"/>
        </w:rPr>
        <w:t>建设（</w:t>
      </w:r>
      <w:r>
        <w:rPr>
          <w:rFonts w:hint="eastAsia"/>
          <w:b/>
          <w:sz w:val="28"/>
          <w:szCs w:val="28"/>
        </w:rPr>
        <w:t>模</w:t>
      </w:r>
      <w:r>
        <w:rPr>
          <w:b/>
          <w:sz w:val="28"/>
          <w:szCs w:val="28"/>
        </w:rPr>
        <w:t>）</w:t>
      </w:r>
    </w:p>
    <w:p>
      <w:pPr>
        <w:pStyle w:val="10"/>
        <w:adjustRightInd w:val="0"/>
        <w:snapToGrid w:val="0"/>
        <w:spacing w:before="0" w:beforeAutospacing="0" w:after="0" w:afterAutospacing="0" w:line="360" w:lineRule="auto"/>
        <w:ind w:firstLine="560" w:firstLineChars="200"/>
        <w:rPr>
          <w:sz w:val="28"/>
          <w:szCs w:val="28"/>
        </w:rPr>
      </w:pPr>
      <w:r>
        <w:rPr>
          <w:rFonts w:hint="eastAsia"/>
          <w:sz w:val="28"/>
          <w:szCs w:val="28"/>
        </w:rPr>
        <w:t>学校紧密结合应用创新型高校建设，实施“带动性”课程思政改革。围绕香料香精化妆品和绿色化工、功能材料和智能制造、设计文创与创新管理三大学科群布局</w:t>
      </w:r>
      <w:r>
        <w:rPr>
          <w:sz w:val="28"/>
          <w:szCs w:val="28"/>
        </w:rPr>
        <w:t>建设领航学院、领航团队和</w:t>
      </w:r>
      <w:r>
        <w:rPr>
          <w:rFonts w:hint="eastAsia"/>
          <w:sz w:val="28"/>
          <w:szCs w:val="28"/>
        </w:rPr>
        <w:t>领航课程。组织</w:t>
      </w:r>
      <w:r>
        <w:rPr>
          <w:sz w:val="28"/>
          <w:szCs w:val="28"/>
        </w:rPr>
        <w:t>各学院、团队和课程将</w:t>
      </w:r>
      <w:r>
        <w:rPr>
          <w:rFonts w:hint="eastAsia"/>
          <w:sz w:val="28"/>
          <w:szCs w:val="28"/>
        </w:rPr>
        <w:t>课程思政作为新工科、</w:t>
      </w:r>
      <w:r>
        <w:rPr>
          <w:sz w:val="28"/>
          <w:szCs w:val="28"/>
        </w:rPr>
        <w:t>新农科</w:t>
      </w:r>
      <w:r>
        <w:rPr>
          <w:rFonts w:hint="eastAsia"/>
          <w:sz w:val="28"/>
          <w:szCs w:val="28"/>
        </w:rPr>
        <w:t>、</w:t>
      </w:r>
      <w:r>
        <w:rPr>
          <w:sz w:val="28"/>
          <w:szCs w:val="28"/>
        </w:rPr>
        <w:t>新文科</w:t>
      </w:r>
      <w:r>
        <w:rPr>
          <w:rFonts w:hint="eastAsia"/>
          <w:sz w:val="28"/>
          <w:szCs w:val="28"/>
        </w:rPr>
        <w:t>建设的</w:t>
      </w:r>
      <w:r>
        <w:rPr>
          <w:sz w:val="28"/>
          <w:szCs w:val="28"/>
        </w:rPr>
        <w:t>首要内容，</w:t>
      </w:r>
      <w:r>
        <w:rPr>
          <w:rFonts w:hint="eastAsia"/>
          <w:sz w:val="28"/>
          <w:szCs w:val="28"/>
        </w:rPr>
        <w:t>以此</w:t>
      </w:r>
      <w:r>
        <w:rPr>
          <w:sz w:val="28"/>
          <w:szCs w:val="28"/>
        </w:rPr>
        <w:t>为抓手</w:t>
      </w:r>
      <w:r>
        <w:rPr>
          <w:rFonts w:hint="eastAsia"/>
          <w:sz w:val="28"/>
          <w:szCs w:val="28"/>
        </w:rPr>
        <w:t>深化“ASciT-OBE（爱科技-成果导向教育）”人才培养模式，</w:t>
      </w:r>
      <w:r>
        <w:rPr>
          <w:sz w:val="28"/>
          <w:szCs w:val="28"/>
        </w:rPr>
        <w:t>全面修订人才培养方案</w:t>
      </w:r>
      <w:r>
        <w:rPr>
          <w:rFonts w:hint="eastAsia"/>
          <w:sz w:val="28"/>
          <w:szCs w:val="28"/>
        </w:rPr>
        <w:t>。</w:t>
      </w:r>
    </w:p>
    <w:p>
      <w:pPr>
        <w:pStyle w:val="10"/>
        <w:adjustRightInd w:val="0"/>
        <w:snapToGrid w:val="0"/>
        <w:spacing w:before="0" w:beforeAutospacing="0" w:after="0" w:afterAutospacing="0" w:line="360" w:lineRule="auto"/>
        <w:ind w:firstLine="562" w:firstLineChars="200"/>
        <w:rPr>
          <w:b/>
          <w:sz w:val="28"/>
          <w:szCs w:val="28"/>
        </w:rPr>
      </w:pPr>
      <w:r>
        <w:rPr>
          <w:rFonts w:hint="eastAsia"/>
          <w:b/>
          <w:sz w:val="28"/>
          <w:szCs w:val="28"/>
        </w:rPr>
        <w:t>（二）以</w:t>
      </w:r>
      <w:r>
        <w:rPr>
          <w:b/>
          <w:sz w:val="28"/>
          <w:szCs w:val="28"/>
        </w:rPr>
        <w:t>创新课程教学设计</w:t>
      </w:r>
      <w:r>
        <w:rPr>
          <w:rFonts w:hint="eastAsia"/>
          <w:b/>
          <w:sz w:val="28"/>
          <w:szCs w:val="28"/>
        </w:rPr>
        <w:t>实现</w:t>
      </w:r>
      <w:r>
        <w:rPr>
          <w:b/>
          <w:sz w:val="28"/>
          <w:szCs w:val="28"/>
        </w:rPr>
        <w:t>思政元素的有效融入（</w:t>
      </w:r>
      <w:r>
        <w:rPr>
          <w:rFonts w:hint="eastAsia"/>
          <w:b/>
          <w:sz w:val="28"/>
          <w:szCs w:val="28"/>
        </w:rPr>
        <w:t>课</w:t>
      </w:r>
      <w:r>
        <w:rPr>
          <w:b/>
          <w:sz w:val="28"/>
          <w:szCs w:val="28"/>
        </w:rPr>
        <w:t>）</w:t>
      </w:r>
    </w:p>
    <w:p>
      <w:pPr>
        <w:pStyle w:val="10"/>
        <w:adjustRightInd w:val="0"/>
        <w:snapToGrid w:val="0"/>
        <w:spacing w:before="0" w:beforeAutospacing="0" w:after="0" w:afterAutospacing="0" w:line="360" w:lineRule="auto"/>
        <w:ind w:firstLine="560" w:firstLineChars="200"/>
        <w:rPr>
          <w:sz w:val="28"/>
          <w:szCs w:val="28"/>
        </w:rPr>
      </w:pPr>
      <w:r>
        <w:rPr>
          <w:rFonts w:hint="eastAsia"/>
          <w:sz w:val="28"/>
          <w:szCs w:val="28"/>
        </w:rPr>
        <w:t>学校强调课程思政建设要紧扣“三位一体、三问致新、三维出彩”。三位一体即价值引领、知识传授、能力培养；三问致新即问课程思政融育人元素、问学科前沿变教学内容、问学生兴趣变教学方法；三维出彩即课堂精彩、学生喝彩、效果出彩。全面修订教学</w:t>
      </w:r>
      <w:r>
        <w:rPr>
          <w:sz w:val="28"/>
          <w:szCs w:val="28"/>
        </w:rPr>
        <w:t>大纲</w:t>
      </w:r>
      <w:r>
        <w:rPr>
          <w:rFonts w:hint="eastAsia"/>
          <w:sz w:val="28"/>
          <w:szCs w:val="28"/>
        </w:rPr>
        <w:t>，</w:t>
      </w:r>
      <w:r>
        <w:rPr>
          <w:sz w:val="28"/>
          <w:szCs w:val="28"/>
        </w:rPr>
        <w:t>将</w:t>
      </w:r>
      <w:r>
        <w:rPr>
          <w:rFonts w:hint="eastAsia"/>
          <w:sz w:val="28"/>
          <w:szCs w:val="28"/>
        </w:rPr>
        <w:t>三维</w:t>
      </w:r>
      <w:r>
        <w:rPr>
          <w:sz w:val="28"/>
          <w:szCs w:val="28"/>
        </w:rPr>
        <w:t>育人目标和思政元素</w:t>
      </w:r>
      <w:r>
        <w:rPr>
          <w:rFonts w:hint="eastAsia"/>
          <w:sz w:val="28"/>
          <w:szCs w:val="28"/>
        </w:rPr>
        <w:t>更加</w:t>
      </w:r>
      <w:r>
        <w:rPr>
          <w:sz w:val="28"/>
          <w:szCs w:val="28"/>
        </w:rPr>
        <w:t>明确</w:t>
      </w:r>
      <w:r>
        <w:rPr>
          <w:rFonts w:hint="eastAsia"/>
          <w:sz w:val="28"/>
          <w:szCs w:val="28"/>
        </w:rPr>
        <w:t>地</w:t>
      </w:r>
      <w:r>
        <w:rPr>
          <w:sz w:val="28"/>
          <w:szCs w:val="28"/>
        </w:rPr>
        <w:t>融入</w:t>
      </w:r>
      <w:r>
        <w:rPr>
          <w:rFonts w:hint="eastAsia"/>
          <w:sz w:val="28"/>
          <w:szCs w:val="28"/>
        </w:rPr>
        <w:t>课程教学</w:t>
      </w:r>
      <w:r>
        <w:rPr>
          <w:sz w:val="28"/>
          <w:szCs w:val="28"/>
        </w:rPr>
        <w:t>。创设</w:t>
      </w:r>
      <w:r>
        <w:rPr>
          <w:rFonts w:hint="eastAsia"/>
          <w:sz w:val="28"/>
          <w:szCs w:val="28"/>
        </w:rPr>
        <w:t>并</w:t>
      </w:r>
      <w:r>
        <w:rPr>
          <w:sz w:val="28"/>
          <w:szCs w:val="28"/>
        </w:rPr>
        <w:t>推广</w:t>
      </w:r>
      <w:r>
        <w:rPr>
          <w:rFonts w:hint="eastAsia"/>
          <w:sz w:val="28"/>
          <w:szCs w:val="28"/>
        </w:rPr>
        <w:t>4S（师、时、史、势）教学法，</w:t>
      </w:r>
      <w:r>
        <w:rPr>
          <w:sz w:val="28"/>
          <w:szCs w:val="28"/>
        </w:rPr>
        <w:t>涌现出一批名师、名课。</w:t>
      </w:r>
      <w:r>
        <w:rPr>
          <w:rFonts w:hint="eastAsia"/>
          <w:sz w:val="28"/>
          <w:szCs w:val="28"/>
        </w:rPr>
        <w:t>重点</w:t>
      </w:r>
      <w:r>
        <w:rPr>
          <w:sz w:val="28"/>
          <w:szCs w:val="28"/>
        </w:rPr>
        <w:t>探索实践</w:t>
      </w:r>
      <w:r>
        <w:rPr>
          <w:rFonts w:hint="eastAsia"/>
          <w:sz w:val="28"/>
          <w:szCs w:val="28"/>
        </w:rPr>
        <w:t>课程</w:t>
      </w:r>
      <w:r>
        <w:rPr>
          <w:sz w:val="28"/>
          <w:szCs w:val="28"/>
        </w:rPr>
        <w:t>的课程思政，</w:t>
      </w:r>
      <w:r>
        <w:rPr>
          <w:rFonts w:hint="eastAsia"/>
          <w:sz w:val="28"/>
          <w:szCs w:val="28"/>
        </w:rPr>
        <w:t>培养学生</w:t>
      </w:r>
      <w:r>
        <w:rPr>
          <w:sz w:val="28"/>
          <w:szCs w:val="28"/>
        </w:rPr>
        <w:t>创造性解决问题的能力，弘扬劳动</w:t>
      </w:r>
      <w:r>
        <w:rPr>
          <w:rFonts w:hint="eastAsia"/>
          <w:sz w:val="28"/>
          <w:szCs w:val="28"/>
        </w:rPr>
        <w:t>精神</w:t>
      </w:r>
      <w:r>
        <w:rPr>
          <w:sz w:val="28"/>
          <w:szCs w:val="28"/>
        </w:rPr>
        <w:t>。</w:t>
      </w:r>
    </w:p>
    <w:p>
      <w:pPr>
        <w:pStyle w:val="10"/>
        <w:adjustRightInd w:val="0"/>
        <w:snapToGrid w:val="0"/>
        <w:spacing w:before="0" w:beforeAutospacing="0" w:after="0" w:afterAutospacing="0" w:line="360" w:lineRule="auto"/>
        <w:ind w:firstLine="562" w:firstLineChars="200"/>
        <w:rPr>
          <w:b/>
          <w:sz w:val="28"/>
          <w:szCs w:val="28"/>
        </w:rPr>
      </w:pPr>
      <w:r>
        <w:rPr>
          <w:rFonts w:hint="eastAsia"/>
          <w:b/>
          <w:sz w:val="28"/>
          <w:szCs w:val="28"/>
        </w:rPr>
        <w:t>（三）以完善课程</w:t>
      </w:r>
      <w:r>
        <w:rPr>
          <w:b/>
          <w:sz w:val="28"/>
          <w:szCs w:val="28"/>
        </w:rPr>
        <w:t>教学管理</w:t>
      </w:r>
      <w:r>
        <w:rPr>
          <w:rFonts w:hint="eastAsia"/>
          <w:b/>
          <w:sz w:val="28"/>
          <w:szCs w:val="28"/>
        </w:rPr>
        <w:t>确保</w:t>
      </w:r>
      <w:r>
        <w:rPr>
          <w:b/>
          <w:sz w:val="28"/>
          <w:szCs w:val="28"/>
        </w:rPr>
        <w:t>课程思政持续改进</w:t>
      </w:r>
      <w:r>
        <w:rPr>
          <w:rFonts w:hint="eastAsia"/>
          <w:b/>
          <w:sz w:val="28"/>
          <w:szCs w:val="28"/>
        </w:rPr>
        <w:t>（管）</w:t>
      </w:r>
    </w:p>
    <w:p>
      <w:pPr>
        <w:pStyle w:val="10"/>
        <w:adjustRightInd w:val="0"/>
        <w:snapToGrid w:val="0"/>
        <w:spacing w:before="0" w:beforeAutospacing="0" w:after="0" w:afterAutospacing="0" w:line="360" w:lineRule="auto"/>
        <w:ind w:firstLine="560" w:firstLineChars="200"/>
        <w:rPr>
          <w:sz w:val="28"/>
          <w:szCs w:val="28"/>
        </w:rPr>
      </w:pPr>
      <w:r>
        <w:rPr>
          <w:rFonts w:hint="eastAsia"/>
          <w:sz w:val="28"/>
          <w:szCs w:val="28"/>
        </w:rPr>
        <w:t>一是建立“荣誉课程—</w:t>
      </w:r>
      <w:r>
        <w:rPr>
          <w:sz w:val="28"/>
          <w:szCs w:val="28"/>
        </w:rPr>
        <w:t>示范课程</w:t>
      </w:r>
      <w:r>
        <w:rPr>
          <w:rFonts w:hint="eastAsia"/>
          <w:sz w:val="28"/>
          <w:szCs w:val="28"/>
        </w:rPr>
        <w:t>—</w:t>
      </w:r>
      <w:r>
        <w:rPr>
          <w:sz w:val="28"/>
          <w:szCs w:val="28"/>
        </w:rPr>
        <w:t>重点课程</w:t>
      </w:r>
      <w:r>
        <w:rPr>
          <w:rFonts w:hint="eastAsia"/>
          <w:sz w:val="28"/>
          <w:szCs w:val="28"/>
        </w:rPr>
        <w:t>”三级领航课程</w:t>
      </w:r>
      <w:r>
        <w:rPr>
          <w:sz w:val="28"/>
          <w:szCs w:val="28"/>
        </w:rPr>
        <w:t>管理体系，</w:t>
      </w:r>
      <w:r>
        <w:rPr>
          <w:rFonts w:hint="eastAsia"/>
          <w:sz w:val="28"/>
          <w:szCs w:val="28"/>
        </w:rPr>
        <w:t>以点带面、</w:t>
      </w:r>
      <w:r>
        <w:rPr>
          <w:sz w:val="28"/>
          <w:szCs w:val="28"/>
        </w:rPr>
        <w:t>分类指导</w:t>
      </w:r>
      <w:r>
        <w:rPr>
          <w:rFonts w:hint="eastAsia"/>
          <w:sz w:val="28"/>
          <w:szCs w:val="28"/>
        </w:rPr>
        <w:t>课程建设</w:t>
      </w:r>
      <w:r>
        <w:rPr>
          <w:sz w:val="28"/>
          <w:szCs w:val="28"/>
        </w:rPr>
        <w:t>。二是</w:t>
      </w:r>
      <w:r>
        <w:rPr>
          <w:rFonts w:hint="eastAsia"/>
          <w:sz w:val="28"/>
          <w:szCs w:val="28"/>
        </w:rPr>
        <w:t>一体化</w:t>
      </w:r>
      <w:r>
        <w:rPr>
          <w:sz w:val="28"/>
          <w:szCs w:val="28"/>
        </w:rPr>
        <w:t>设计</w:t>
      </w:r>
      <w:r>
        <w:rPr>
          <w:rFonts w:hint="eastAsia"/>
          <w:sz w:val="28"/>
          <w:szCs w:val="28"/>
        </w:rPr>
        <w:t>课内外</w:t>
      </w:r>
      <w:r>
        <w:rPr>
          <w:sz w:val="28"/>
          <w:szCs w:val="28"/>
        </w:rPr>
        <w:t>思政教育体系，</w:t>
      </w:r>
      <w:r>
        <w:rPr>
          <w:rFonts w:hint="eastAsia"/>
          <w:sz w:val="28"/>
          <w:szCs w:val="28"/>
        </w:rPr>
        <w:t>编制《大学生思想政治教育体系化工作指南》，</w:t>
      </w:r>
      <w:r>
        <w:rPr>
          <w:sz w:val="28"/>
          <w:szCs w:val="28"/>
        </w:rPr>
        <w:t>实现第二课堂</w:t>
      </w:r>
      <w:r>
        <w:rPr>
          <w:rFonts w:hint="eastAsia"/>
          <w:sz w:val="28"/>
          <w:szCs w:val="28"/>
        </w:rPr>
        <w:t>与第一课堂的“精准滴灌”。三</w:t>
      </w:r>
      <w:r>
        <w:rPr>
          <w:sz w:val="28"/>
          <w:szCs w:val="28"/>
        </w:rPr>
        <w:t>是</w:t>
      </w:r>
      <w:r>
        <w:rPr>
          <w:rFonts w:hint="eastAsia"/>
          <w:sz w:val="28"/>
          <w:szCs w:val="28"/>
        </w:rPr>
        <w:t>建立课程思政全流程质量保障体系，</w:t>
      </w:r>
      <w:r>
        <w:rPr>
          <w:sz w:val="28"/>
          <w:szCs w:val="28"/>
        </w:rPr>
        <w:t>修订教学质量标准，加强线上思政和教材选用等</w:t>
      </w:r>
      <w:r>
        <w:rPr>
          <w:rFonts w:hint="eastAsia"/>
          <w:sz w:val="28"/>
          <w:szCs w:val="28"/>
        </w:rPr>
        <w:t>管理</w:t>
      </w:r>
      <w:r>
        <w:rPr>
          <w:sz w:val="28"/>
          <w:szCs w:val="28"/>
        </w:rPr>
        <w:t>。</w:t>
      </w:r>
    </w:p>
    <w:p>
      <w:pPr>
        <w:pStyle w:val="10"/>
        <w:adjustRightInd w:val="0"/>
        <w:snapToGrid w:val="0"/>
        <w:spacing w:before="0" w:beforeAutospacing="0" w:after="0" w:afterAutospacing="0" w:line="360" w:lineRule="auto"/>
        <w:ind w:firstLine="562" w:firstLineChars="200"/>
        <w:rPr>
          <w:b/>
          <w:sz w:val="28"/>
          <w:szCs w:val="28"/>
        </w:rPr>
      </w:pPr>
      <w:r>
        <w:rPr>
          <w:rFonts w:hint="eastAsia"/>
          <w:b/>
          <w:sz w:val="28"/>
          <w:szCs w:val="28"/>
        </w:rPr>
        <w:t>（四）以多层次研修体系提升教师</w:t>
      </w:r>
      <w:r>
        <w:rPr>
          <w:b/>
          <w:sz w:val="28"/>
          <w:szCs w:val="28"/>
        </w:rPr>
        <w:t>育德意识和育德能力（</w:t>
      </w:r>
      <w:r>
        <w:rPr>
          <w:rFonts w:hint="eastAsia"/>
          <w:b/>
          <w:sz w:val="28"/>
          <w:szCs w:val="28"/>
        </w:rPr>
        <w:t>师</w:t>
      </w:r>
      <w:r>
        <w:rPr>
          <w:b/>
          <w:sz w:val="28"/>
          <w:szCs w:val="28"/>
        </w:rPr>
        <w:t>）</w:t>
      </w:r>
    </w:p>
    <w:p>
      <w:pPr>
        <w:pStyle w:val="10"/>
        <w:adjustRightInd w:val="0"/>
        <w:snapToGrid w:val="0"/>
        <w:spacing w:before="0" w:beforeAutospacing="0" w:after="0" w:afterAutospacing="0" w:line="360" w:lineRule="auto"/>
        <w:ind w:firstLine="560" w:firstLineChars="200"/>
        <w:rPr>
          <w:sz w:val="28"/>
          <w:szCs w:val="28"/>
        </w:rPr>
      </w:pPr>
      <w:r>
        <w:rPr>
          <w:rFonts w:hint="eastAsia"/>
          <w:sz w:val="28"/>
          <w:szCs w:val="28"/>
        </w:rPr>
        <w:t>学校注重强化教师的关键主体地位。一</w:t>
      </w:r>
      <w:r>
        <w:rPr>
          <w:sz w:val="28"/>
          <w:szCs w:val="28"/>
        </w:rPr>
        <w:t>是</w:t>
      </w:r>
      <w:r>
        <w:rPr>
          <w:rFonts w:hint="eastAsia"/>
          <w:sz w:val="28"/>
          <w:szCs w:val="28"/>
        </w:rPr>
        <w:t>成立课程思政</w:t>
      </w:r>
      <w:r>
        <w:rPr>
          <w:sz w:val="28"/>
          <w:szCs w:val="28"/>
        </w:rPr>
        <w:t>研究中心</w:t>
      </w:r>
      <w:r>
        <w:rPr>
          <w:rFonts w:hint="eastAsia"/>
          <w:sz w:val="28"/>
          <w:szCs w:val="28"/>
        </w:rPr>
        <w:t>，</w:t>
      </w:r>
      <w:r>
        <w:rPr>
          <w:sz w:val="28"/>
          <w:szCs w:val="28"/>
        </w:rPr>
        <w:t>引领教师提升育德意识和育德能力。</w:t>
      </w:r>
      <w:r>
        <w:rPr>
          <w:rFonts w:hint="eastAsia"/>
          <w:sz w:val="28"/>
          <w:szCs w:val="28"/>
        </w:rPr>
        <w:t>二是常设</w:t>
      </w:r>
      <w:r>
        <w:rPr>
          <w:sz w:val="28"/>
          <w:szCs w:val="28"/>
        </w:rPr>
        <w:t>平台和专题培训相结合</w:t>
      </w:r>
      <w:r>
        <w:rPr>
          <w:rFonts w:hint="eastAsia"/>
          <w:sz w:val="28"/>
          <w:szCs w:val="28"/>
        </w:rPr>
        <w:t>推进教师培养</w:t>
      </w:r>
      <w:r>
        <w:rPr>
          <w:sz w:val="28"/>
          <w:szCs w:val="28"/>
        </w:rPr>
        <w:t>。</w:t>
      </w:r>
      <w:r>
        <w:rPr>
          <w:rFonts w:hint="eastAsia"/>
          <w:sz w:val="28"/>
          <w:szCs w:val="28"/>
        </w:rPr>
        <w:t>搭建</w:t>
      </w:r>
      <w:r>
        <w:rPr>
          <w:sz w:val="28"/>
          <w:szCs w:val="28"/>
        </w:rPr>
        <w:t>明德讲坛和教师沙龙</w:t>
      </w:r>
      <w:r>
        <w:rPr>
          <w:rFonts w:hint="eastAsia"/>
          <w:sz w:val="28"/>
          <w:szCs w:val="28"/>
        </w:rPr>
        <w:t>两个</w:t>
      </w:r>
      <w:r>
        <w:rPr>
          <w:sz w:val="28"/>
          <w:szCs w:val="28"/>
        </w:rPr>
        <w:t>平台</w:t>
      </w:r>
      <w:r>
        <w:rPr>
          <w:rFonts w:hint="eastAsia"/>
          <w:sz w:val="28"/>
          <w:szCs w:val="28"/>
        </w:rPr>
        <w:t>，同时针对</w:t>
      </w:r>
      <w:r>
        <w:rPr>
          <w:sz w:val="28"/>
          <w:szCs w:val="28"/>
        </w:rPr>
        <w:t>关键少数开展</w:t>
      </w:r>
      <w:r>
        <w:rPr>
          <w:rFonts w:hint="eastAsia"/>
          <w:sz w:val="28"/>
          <w:szCs w:val="28"/>
        </w:rPr>
        <w:t>高阶性</w:t>
      </w:r>
      <w:r>
        <w:rPr>
          <w:sz w:val="28"/>
          <w:szCs w:val="28"/>
        </w:rPr>
        <w:t>专题</w:t>
      </w:r>
      <w:r>
        <w:rPr>
          <w:rFonts w:hint="eastAsia"/>
          <w:sz w:val="28"/>
          <w:szCs w:val="28"/>
        </w:rPr>
        <w:t>培训。三是</w:t>
      </w:r>
      <w:r>
        <w:rPr>
          <w:sz w:val="28"/>
          <w:szCs w:val="28"/>
        </w:rPr>
        <w:t>加强基层教学组织</w:t>
      </w:r>
      <w:r>
        <w:rPr>
          <w:rFonts w:hint="eastAsia"/>
          <w:sz w:val="28"/>
          <w:szCs w:val="28"/>
        </w:rPr>
        <w:t>建设</w:t>
      </w:r>
      <w:r>
        <w:rPr>
          <w:sz w:val="28"/>
          <w:szCs w:val="28"/>
        </w:rPr>
        <w:t>。</w:t>
      </w:r>
      <w:r>
        <w:rPr>
          <w:rFonts w:hint="eastAsia"/>
          <w:sz w:val="28"/>
          <w:szCs w:val="28"/>
        </w:rPr>
        <w:t>将</w:t>
      </w:r>
      <w:r>
        <w:rPr>
          <w:sz w:val="28"/>
          <w:szCs w:val="28"/>
        </w:rPr>
        <w:t>课程思政作为教研室活动的必备专题。</w:t>
      </w:r>
      <w:r>
        <w:rPr>
          <w:rFonts w:hint="eastAsia"/>
          <w:sz w:val="28"/>
          <w:szCs w:val="28"/>
        </w:rPr>
        <w:t xml:space="preserve"> </w:t>
      </w:r>
    </w:p>
    <w:p>
      <w:pPr>
        <w:pStyle w:val="10"/>
        <w:adjustRightInd w:val="0"/>
        <w:snapToGrid w:val="0"/>
        <w:spacing w:before="0" w:beforeAutospacing="0" w:after="0" w:afterAutospacing="0" w:line="360" w:lineRule="auto"/>
        <w:ind w:firstLine="562" w:firstLineChars="200"/>
        <w:rPr>
          <w:b/>
          <w:sz w:val="28"/>
          <w:szCs w:val="28"/>
        </w:rPr>
      </w:pPr>
      <w:r>
        <w:rPr>
          <w:rFonts w:hint="eastAsia"/>
          <w:b/>
          <w:sz w:val="28"/>
          <w:szCs w:val="28"/>
        </w:rPr>
        <w:t>（五）以体制机制建设激活课程思政</w:t>
      </w:r>
      <w:r>
        <w:rPr>
          <w:b/>
          <w:sz w:val="28"/>
          <w:szCs w:val="28"/>
        </w:rPr>
        <w:t>改革内生动力</w:t>
      </w:r>
      <w:r>
        <w:rPr>
          <w:rFonts w:hint="eastAsia"/>
          <w:b/>
          <w:sz w:val="28"/>
          <w:szCs w:val="28"/>
        </w:rPr>
        <w:t>（制）</w:t>
      </w:r>
    </w:p>
    <w:p>
      <w:pPr>
        <w:pStyle w:val="10"/>
        <w:adjustRightInd w:val="0"/>
        <w:snapToGrid w:val="0"/>
        <w:spacing w:before="0" w:beforeAutospacing="0" w:after="0" w:afterAutospacing="0" w:line="360" w:lineRule="auto"/>
        <w:ind w:firstLine="560" w:firstLineChars="200"/>
        <w:rPr>
          <w:sz w:val="28"/>
          <w:szCs w:val="28"/>
        </w:rPr>
      </w:pPr>
      <w:r>
        <w:rPr>
          <w:rFonts w:hint="eastAsia"/>
          <w:sz w:val="28"/>
          <w:szCs w:val="28"/>
        </w:rPr>
        <w:t>学校党政齐抓共管，全方位推进课程思政体制机制建设。一</w:t>
      </w:r>
      <w:r>
        <w:rPr>
          <w:sz w:val="28"/>
          <w:szCs w:val="28"/>
        </w:rPr>
        <w:t>是</w:t>
      </w:r>
      <w:r>
        <w:rPr>
          <w:rFonts w:hint="eastAsia"/>
          <w:sz w:val="28"/>
          <w:szCs w:val="28"/>
        </w:rPr>
        <w:t>将课程思政纳入党委落实意识形态主体责任的重要内容，校</w:t>
      </w:r>
      <w:r>
        <w:rPr>
          <w:sz w:val="28"/>
          <w:szCs w:val="28"/>
        </w:rPr>
        <w:t>党委书记、校长任课程思政</w:t>
      </w:r>
      <w:r>
        <w:rPr>
          <w:rFonts w:hint="eastAsia"/>
          <w:sz w:val="28"/>
          <w:szCs w:val="28"/>
        </w:rPr>
        <w:t>改革</w:t>
      </w:r>
      <w:r>
        <w:rPr>
          <w:sz w:val="28"/>
          <w:szCs w:val="28"/>
        </w:rPr>
        <w:t>领导小组双组长</w:t>
      </w:r>
      <w:r>
        <w:rPr>
          <w:rFonts w:hint="eastAsia"/>
          <w:sz w:val="28"/>
          <w:szCs w:val="28"/>
        </w:rPr>
        <w:t>。</w:t>
      </w:r>
      <w:r>
        <w:rPr>
          <w:sz w:val="28"/>
          <w:szCs w:val="28"/>
        </w:rPr>
        <w:t>二是</w:t>
      </w:r>
      <w:r>
        <w:rPr>
          <w:rFonts w:hint="eastAsia"/>
          <w:sz w:val="28"/>
          <w:szCs w:val="28"/>
        </w:rPr>
        <w:t>发挥</w:t>
      </w:r>
      <w:r>
        <w:rPr>
          <w:sz w:val="28"/>
          <w:szCs w:val="28"/>
        </w:rPr>
        <w:t>二级学院作为办学主体的积极性，将</w:t>
      </w:r>
      <w:r>
        <w:rPr>
          <w:rFonts w:hint="eastAsia"/>
          <w:sz w:val="28"/>
          <w:szCs w:val="28"/>
        </w:rPr>
        <w:t>课程思政与一流专业、一流课程“双万计划”统筹推进，纳入</w:t>
      </w:r>
      <w:r>
        <w:rPr>
          <w:sz w:val="28"/>
          <w:szCs w:val="28"/>
        </w:rPr>
        <w:t>学院绩效</w:t>
      </w:r>
      <w:r>
        <w:rPr>
          <w:rFonts w:hint="eastAsia"/>
          <w:sz w:val="28"/>
          <w:szCs w:val="28"/>
        </w:rPr>
        <w:t>考核。</w:t>
      </w:r>
      <w:r>
        <w:rPr>
          <w:sz w:val="28"/>
          <w:szCs w:val="28"/>
        </w:rPr>
        <w:t>三是</w:t>
      </w:r>
      <w:r>
        <w:rPr>
          <w:rFonts w:hint="eastAsia"/>
          <w:sz w:val="28"/>
          <w:szCs w:val="28"/>
        </w:rPr>
        <w:t>把课程思政作为基层党组织贯彻立德树人工作的重要职责，建立由马院教师、专业课教师、辅导员和</w:t>
      </w:r>
      <w:r>
        <w:rPr>
          <w:sz w:val="28"/>
          <w:szCs w:val="28"/>
        </w:rPr>
        <w:t>学生党员共同组成的临时党支部</w:t>
      </w:r>
      <w:r>
        <w:rPr>
          <w:rFonts w:hint="eastAsia"/>
          <w:sz w:val="28"/>
          <w:szCs w:val="28"/>
        </w:rPr>
        <w:t>。四</w:t>
      </w:r>
      <w:r>
        <w:rPr>
          <w:sz w:val="28"/>
          <w:szCs w:val="28"/>
        </w:rPr>
        <w:t>是</w:t>
      </w:r>
      <w:r>
        <w:rPr>
          <w:rFonts w:hint="eastAsia"/>
          <w:sz w:val="28"/>
          <w:szCs w:val="28"/>
        </w:rPr>
        <w:t>校企</w:t>
      </w:r>
      <w:r>
        <w:rPr>
          <w:sz w:val="28"/>
          <w:szCs w:val="28"/>
        </w:rPr>
        <w:t>协同推进，在现代产业学院</w:t>
      </w:r>
      <w:r>
        <w:rPr>
          <w:rFonts w:hint="eastAsia"/>
          <w:sz w:val="28"/>
          <w:szCs w:val="28"/>
        </w:rPr>
        <w:t>的</w:t>
      </w:r>
      <w:r>
        <w:rPr>
          <w:sz w:val="28"/>
          <w:szCs w:val="28"/>
        </w:rPr>
        <w:t>建设中明确课程思政</w:t>
      </w:r>
      <w:r>
        <w:rPr>
          <w:rFonts w:hint="eastAsia"/>
          <w:sz w:val="28"/>
          <w:szCs w:val="28"/>
        </w:rPr>
        <w:t>改革任务，共同</w:t>
      </w:r>
      <w:r>
        <w:rPr>
          <w:sz w:val="28"/>
          <w:szCs w:val="28"/>
        </w:rPr>
        <w:t>打造</w:t>
      </w:r>
      <w:r>
        <w:rPr>
          <w:rFonts w:hint="eastAsia"/>
          <w:sz w:val="28"/>
          <w:szCs w:val="28"/>
        </w:rPr>
        <w:t>“鲜活课堂”和</w:t>
      </w:r>
      <w:r>
        <w:rPr>
          <w:sz w:val="28"/>
          <w:szCs w:val="28"/>
        </w:rPr>
        <w:t>真实案例。</w:t>
      </w:r>
    </w:p>
    <w:p>
      <w:pPr>
        <w:pStyle w:val="10"/>
        <w:adjustRightInd w:val="0"/>
        <w:snapToGrid w:val="0"/>
        <w:spacing w:before="0" w:beforeAutospacing="0" w:after="0" w:afterAutospacing="0" w:line="360" w:lineRule="auto"/>
        <w:ind w:firstLine="562" w:firstLineChars="200"/>
        <w:rPr>
          <w:b/>
          <w:sz w:val="28"/>
          <w:szCs w:val="28"/>
        </w:rPr>
      </w:pPr>
      <w:r>
        <w:rPr>
          <w:rFonts w:hint="eastAsia"/>
          <w:b/>
          <w:sz w:val="28"/>
          <w:szCs w:val="28"/>
        </w:rPr>
        <w:t>三、注重“特色实效”提升课程思政改革的育人</w:t>
      </w:r>
      <w:r>
        <w:rPr>
          <w:b/>
          <w:sz w:val="28"/>
          <w:szCs w:val="28"/>
        </w:rPr>
        <w:t>成效</w:t>
      </w:r>
    </w:p>
    <w:p>
      <w:pPr>
        <w:pStyle w:val="10"/>
        <w:adjustRightInd w:val="0"/>
        <w:snapToGrid w:val="0"/>
        <w:spacing w:before="0" w:beforeAutospacing="0" w:after="0" w:afterAutospacing="0" w:line="360" w:lineRule="auto"/>
        <w:ind w:firstLine="562" w:firstLineChars="200"/>
        <w:rPr>
          <w:b/>
          <w:sz w:val="28"/>
          <w:szCs w:val="28"/>
        </w:rPr>
      </w:pPr>
      <w:r>
        <w:rPr>
          <w:rFonts w:hint="eastAsia"/>
          <w:b/>
          <w:sz w:val="28"/>
          <w:szCs w:val="28"/>
        </w:rPr>
        <w:t>（一）致力于建设有特色系统化的课程思政</w:t>
      </w:r>
    </w:p>
    <w:p>
      <w:pPr>
        <w:pStyle w:val="10"/>
        <w:adjustRightInd w:val="0"/>
        <w:snapToGrid w:val="0"/>
        <w:spacing w:before="0" w:beforeAutospacing="0" w:after="0" w:afterAutospacing="0" w:line="360" w:lineRule="auto"/>
        <w:ind w:firstLine="560" w:firstLineChars="200"/>
        <w:rPr>
          <w:sz w:val="28"/>
          <w:szCs w:val="28"/>
        </w:rPr>
      </w:pPr>
      <w:r>
        <w:rPr>
          <w:rFonts w:hint="eastAsia"/>
          <w:sz w:val="28"/>
          <w:szCs w:val="28"/>
        </w:rPr>
        <w:t>一是学生为本，以培养厚德精技高素质应用创新</w:t>
      </w:r>
      <w:r>
        <w:rPr>
          <w:sz w:val="28"/>
          <w:szCs w:val="28"/>
        </w:rPr>
        <w:t>型</w:t>
      </w:r>
      <w:r>
        <w:rPr>
          <w:rFonts w:hint="eastAsia"/>
          <w:sz w:val="28"/>
          <w:szCs w:val="28"/>
        </w:rPr>
        <w:t>人才为目标定位。二是教师为要，通过高阶性研修培育</w:t>
      </w:r>
      <w:r>
        <w:rPr>
          <w:sz w:val="28"/>
          <w:szCs w:val="28"/>
        </w:rPr>
        <w:t>一批应用型高校</w:t>
      </w:r>
      <w:r>
        <w:rPr>
          <w:rFonts w:hint="eastAsia"/>
          <w:sz w:val="28"/>
          <w:szCs w:val="28"/>
        </w:rPr>
        <w:t>课程思政名师。三是课堂为主，将教书育人内涵落实于课堂教学主渠道。</w:t>
      </w:r>
      <w:r>
        <w:rPr>
          <w:sz w:val="28"/>
          <w:szCs w:val="28"/>
        </w:rPr>
        <w:t>四</w:t>
      </w:r>
      <w:r>
        <w:rPr>
          <w:rFonts w:hint="eastAsia"/>
          <w:sz w:val="28"/>
          <w:szCs w:val="28"/>
        </w:rPr>
        <w:t>制度为先，以</w:t>
      </w:r>
      <w:r>
        <w:rPr>
          <w:sz w:val="28"/>
          <w:szCs w:val="28"/>
        </w:rPr>
        <w:t>领航高校建设为契机</w:t>
      </w:r>
      <w:r>
        <w:rPr>
          <w:rFonts w:hint="eastAsia"/>
          <w:sz w:val="28"/>
          <w:szCs w:val="28"/>
        </w:rPr>
        <w:t>形成课程思政制度2.0版。五</w:t>
      </w:r>
      <w:r>
        <w:rPr>
          <w:sz w:val="28"/>
          <w:szCs w:val="28"/>
        </w:rPr>
        <w:t>是</w:t>
      </w:r>
      <w:r>
        <w:rPr>
          <w:rFonts w:hint="eastAsia"/>
          <w:sz w:val="28"/>
          <w:szCs w:val="28"/>
        </w:rPr>
        <w:t>成果为重，围绕</w:t>
      </w:r>
      <w:r>
        <w:rPr>
          <w:sz w:val="28"/>
          <w:szCs w:val="28"/>
        </w:rPr>
        <w:t>三大特色学科专业群率先研制教学指南，</w:t>
      </w:r>
      <w:r>
        <w:rPr>
          <w:rFonts w:hint="eastAsia"/>
          <w:sz w:val="28"/>
          <w:szCs w:val="28"/>
        </w:rPr>
        <w:t>出版成果</w:t>
      </w:r>
      <w:r>
        <w:rPr>
          <w:sz w:val="28"/>
          <w:szCs w:val="28"/>
        </w:rPr>
        <w:t>案例</w:t>
      </w:r>
      <w:r>
        <w:rPr>
          <w:rFonts w:hint="eastAsia"/>
          <w:sz w:val="28"/>
          <w:szCs w:val="28"/>
        </w:rPr>
        <w:t>和</w:t>
      </w:r>
      <w:r>
        <w:rPr>
          <w:sz w:val="28"/>
          <w:szCs w:val="28"/>
        </w:rPr>
        <w:t>专著</w:t>
      </w:r>
      <w:r>
        <w:rPr>
          <w:rFonts w:hint="eastAsia"/>
          <w:sz w:val="28"/>
          <w:szCs w:val="28"/>
        </w:rPr>
        <w:t>。六</w:t>
      </w:r>
      <w:r>
        <w:rPr>
          <w:sz w:val="28"/>
          <w:szCs w:val="28"/>
        </w:rPr>
        <w:t>是</w:t>
      </w:r>
      <w:r>
        <w:rPr>
          <w:rFonts w:hint="eastAsia"/>
          <w:sz w:val="28"/>
          <w:szCs w:val="28"/>
        </w:rPr>
        <w:t>文化为魂，强化“工程师文化”建设，以课程思政优化学校育人生态。</w:t>
      </w:r>
    </w:p>
    <w:p>
      <w:pPr>
        <w:pStyle w:val="10"/>
        <w:adjustRightInd w:val="0"/>
        <w:snapToGrid w:val="0"/>
        <w:spacing w:before="0" w:beforeAutospacing="0" w:after="0" w:afterAutospacing="0" w:line="360" w:lineRule="auto"/>
        <w:ind w:firstLine="562" w:firstLineChars="200"/>
        <w:rPr>
          <w:b/>
          <w:sz w:val="28"/>
          <w:szCs w:val="28"/>
        </w:rPr>
      </w:pPr>
      <w:r>
        <w:rPr>
          <w:rFonts w:hint="eastAsia"/>
          <w:b/>
          <w:sz w:val="28"/>
          <w:szCs w:val="28"/>
        </w:rPr>
        <w:t>（二）致力于培育有情怀有担当的应用创新型人才</w:t>
      </w:r>
    </w:p>
    <w:p>
      <w:pPr>
        <w:pStyle w:val="10"/>
        <w:adjustRightInd w:val="0"/>
        <w:snapToGrid w:val="0"/>
        <w:spacing w:before="0" w:beforeAutospacing="0" w:after="0" w:afterAutospacing="0" w:line="360" w:lineRule="auto"/>
        <w:ind w:firstLine="560" w:firstLineChars="200"/>
        <w:rPr>
          <w:sz w:val="28"/>
          <w:szCs w:val="28"/>
        </w:rPr>
      </w:pPr>
      <w:r>
        <w:rPr>
          <w:rFonts w:hint="eastAsia"/>
          <w:sz w:val="28"/>
          <w:szCs w:val="28"/>
        </w:rPr>
        <w:t>调研显示，学生对课程思政的满意度达93.33%，欢迎度、接受度较高。2020届</w:t>
      </w:r>
      <w:r>
        <w:rPr>
          <w:sz w:val="28"/>
          <w:szCs w:val="28"/>
        </w:rPr>
        <w:t>毕业生就业率达到</w:t>
      </w:r>
      <w:r>
        <w:rPr>
          <w:rFonts w:hint="eastAsia"/>
          <w:sz w:val="28"/>
          <w:szCs w:val="28"/>
        </w:rPr>
        <w:t>96.03</w:t>
      </w:r>
      <w:r>
        <w:rPr>
          <w:sz w:val="28"/>
          <w:szCs w:val="28"/>
        </w:rPr>
        <w:t>%，</w:t>
      </w:r>
      <w:r>
        <w:rPr>
          <w:rFonts w:hint="eastAsia"/>
          <w:sz w:val="28"/>
          <w:szCs w:val="28"/>
        </w:rPr>
        <w:t>毕业生获得了“综合素质高、动手能力强、踏实肯干、具有团队精神”的社会赞誉。2020届校长奖（学生）获得者郭雨，在新冠肺炎疫情防控期间，主动为湖北儿童上网课；还有许多上应学子志愿奉献在疫情防控第一线，彰显出强烈的家国情怀。</w:t>
      </w:r>
    </w:p>
    <w:p>
      <w:pPr>
        <w:pStyle w:val="10"/>
        <w:adjustRightInd w:val="0"/>
        <w:snapToGrid w:val="0"/>
        <w:spacing w:before="0" w:beforeAutospacing="0" w:after="0" w:afterAutospacing="0" w:line="360" w:lineRule="auto"/>
        <w:ind w:firstLine="562" w:firstLineChars="200"/>
        <w:rPr>
          <w:b/>
          <w:sz w:val="28"/>
          <w:szCs w:val="28"/>
        </w:rPr>
      </w:pPr>
      <w:r>
        <w:rPr>
          <w:rFonts w:hint="eastAsia"/>
          <w:b/>
          <w:sz w:val="28"/>
          <w:szCs w:val="28"/>
        </w:rPr>
        <w:t>（三）致力于形成可复制可推广的改革经验</w:t>
      </w:r>
    </w:p>
    <w:p>
      <w:pPr>
        <w:pStyle w:val="10"/>
        <w:adjustRightInd w:val="0"/>
        <w:snapToGrid w:val="0"/>
        <w:spacing w:before="0" w:beforeAutospacing="0" w:after="0" w:afterAutospacing="0" w:line="360" w:lineRule="auto"/>
        <w:ind w:firstLine="560" w:firstLineChars="200"/>
        <w:rPr>
          <w:sz w:val="28"/>
          <w:szCs w:val="28"/>
        </w:rPr>
      </w:pPr>
      <w:r>
        <w:rPr>
          <w:rFonts w:hint="eastAsia"/>
          <w:sz w:val="28"/>
          <w:szCs w:val="28"/>
        </w:rPr>
        <w:t>2018年5月，学校牵头举办长三角应用型本科高校课程思政教学改革等系列论坛。2019年1月，校长柯勤飞在《中国教育报》发表署名文章《融合创新打造课程思政“金课”》。2020年9月，柯勤飞应邀出席河南省应用型本科高校主要领导干部研讨班并作专题报告。《光明日报》《中国教育报》《文汇报》等主流媒体30 多次专题报道我校课程思政改革情况，取得了良好的社会效应。</w:t>
      </w:r>
    </w:p>
    <w:p>
      <w:pPr>
        <w:pStyle w:val="10"/>
        <w:adjustRightInd w:val="0"/>
        <w:snapToGrid w:val="0"/>
        <w:spacing w:before="0" w:beforeAutospacing="0" w:after="0" w:afterAutospacing="0" w:line="360" w:lineRule="auto"/>
        <w:ind w:firstLine="560" w:firstLineChars="200"/>
        <w:rPr>
          <w:sz w:val="28"/>
          <w:szCs w:val="28"/>
        </w:rPr>
      </w:pPr>
      <w:r>
        <w:rPr>
          <w:rFonts w:hint="eastAsia"/>
          <w:sz w:val="28"/>
          <w:szCs w:val="28"/>
        </w:rPr>
        <w:t>课程思政教育教学改革，是一项系统工程。上海应用技术大学将用课程思政为科技注入灵魂，用科技为课程思政插上翅膀，深化“ASciT-OBE”模式，厚德精技，守正创新，全面推进领航高校课程思政教育教学改革。</w:t>
      </w:r>
    </w:p>
    <w:p>
      <w:pPr>
        <w:pStyle w:val="10"/>
        <w:adjustRightInd w:val="0"/>
        <w:snapToGrid w:val="0"/>
        <w:spacing w:before="0" w:beforeAutospacing="0" w:after="0" w:afterAutospacing="0" w:line="360" w:lineRule="auto"/>
        <w:ind w:firstLine="560" w:firstLineChars="200"/>
        <w:rPr>
          <w:sz w:val="28"/>
          <w:szCs w:val="28"/>
        </w:rPr>
      </w:pPr>
      <w:r>
        <w:rPr>
          <w:rFonts w:hint="eastAsia"/>
          <w:sz w:val="28"/>
          <w:szCs w:val="28"/>
        </w:rPr>
        <w:t>谢谢大家！</w:t>
      </w:r>
    </w:p>
    <w:p>
      <w:pPr>
        <w:widowControl/>
        <w:jc w:val="left"/>
        <w:rPr>
          <w:rFonts w:ascii="宋体" w:hAnsi="宋体" w:eastAsia="宋体" w:cs="宋体"/>
          <w:kern w:val="0"/>
          <w:sz w:val="28"/>
          <w:szCs w:val="28"/>
        </w:rPr>
      </w:pPr>
      <w:r>
        <w:rPr>
          <w:sz w:val="28"/>
          <w:szCs w:val="28"/>
        </w:rPr>
        <w:br w:type="page"/>
      </w:r>
    </w:p>
    <w:p>
      <w:pPr>
        <w:pStyle w:val="2"/>
        <w:spacing w:before="0" w:after="0" w:line="360" w:lineRule="auto"/>
        <w:jc w:val="center"/>
        <w:rPr>
          <w:rFonts w:asciiTheme="minorEastAsia" w:hAnsiTheme="minorEastAsia"/>
          <w:sz w:val="30"/>
          <w:szCs w:val="30"/>
        </w:rPr>
      </w:pPr>
      <w:bookmarkStart w:id="2" w:name="_Toc131671167"/>
      <w:r>
        <w:rPr>
          <w:rFonts w:hint="eastAsia" w:asciiTheme="minorEastAsia" w:hAnsiTheme="minorEastAsia"/>
          <w:sz w:val="30"/>
          <w:szCs w:val="30"/>
        </w:rPr>
        <w:t>在学校“明德讲坛”暨课程思政领航计划负责人及骨干教师培训班成果交流会上的讲话</w:t>
      </w:r>
      <w:bookmarkEnd w:id="2"/>
    </w:p>
    <w:p>
      <w:pPr>
        <w:autoSpaceDE w:val="0"/>
        <w:spacing w:line="360" w:lineRule="auto"/>
        <w:jc w:val="center"/>
        <w:rPr>
          <w:rFonts w:ascii="宋体" w:hAnsi="宋体" w:eastAsia="宋体" w:cs="宋体"/>
          <w:b/>
          <w:sz w:val="28"/>
          <w:szCs w:val="28"/>
        </w:rPr>
      </w:pPr>
      <w:r>
        <w:rPr>
          <w:rFonts w:hint="eastAsia" w:ascii="宋体" w:hAnsi="宋体" w:eastAsia="宋体" w:cs="宋体"/>
          <w:b/>
          <w:sz w:val="28"/>
          <w:szCs w:val="28"/>
        </w:rPr>
        <w:t>校党委书记  郭庆松</w:t>
      </w:r>
    </w:p>
    <w:p>
      <w:pPr>
        <w:pStyle w:val="10"/>
        <w:adjustRightInd w:val="0"/>
        <w:snapToGrid w:val="0"/>
        <w:spacing w:before="0" w:beforeAutospacing="0" w:after="0" w:afterAutospacing="0" w:line="360" w:lineRule="auto"/>
        <w:ind w:firstLine="2940" w:firstLineChars="1050"/>
        <w:rPr>
          <w:sz w:val="28"/>
          <w:szCs w:val="28"/>
        </w:rPr>
      </w:pPr>
      <w:r>
        <w:rPr>
          <w:rFonts w:hint="eastAsia"/>
          <w:sz w:val="28"/>
          <w:szCs w:val="28"/>
        </w:rPr>
        <w:t>2020年</w:t>
      </w:r>
      <w:r>
        <w:rPr>
          <w:sz w:val="28"/>
          <w:szCs w:val="28"/>
        </w:rPr>
        <w:t>11月10日</w:t>
      </w:r>
    </w:p>
    <w:p>
      <w:pPr>
        <w:pStyle w:val="10"/>
        <w:adjustRightInd w:val="0"/>
        <w:snapToGrid w:val="0"/>
        <w:spacing w:before="0" w:beforeAutospacing="0" w:after="0" w:afterAutospacing="0" w:line="360" w:lineRule="auto"/>
        <w:rPr>
          <w:sz w:val="28"/>
          <w:szCs w:val="28"/>
        </w:rPr>
      </w:pPr>
      <w:r>
        <w:rPr>
          <w:rFonts w:hint="eastAsia"/>
          <w:sz w:val="28"/>
          <w:szCs w:val="28"/>
        </w:rPr>
        <w:t>各位嘉宾，老师们：</w:t>
      </w:r>
    </w:p>
    <w:p>
      <w:pPr>
        <w:pStyle w:val="10"/>
        <w:adjustRightInd w:val="0"/>
        <w:snapToGrid w:val="0"/>
        <w:spacing w:before="0" w:beforeAutospacing="0" w:after="0" w:afterAutospacing="0" w:line="360" w:lineRule="auto"/>
        <w:ind w:firstLine="560" w:firstLineChars="200"/>
        <w:rPr>
          <w:sz w:val="28"/>
          <w:szCs w:val="28"/>
        </w:rPr>
      </w:pPr>
      <w:r>
        <w:rPr>
          <w:rFonts w:hint="eastAsia"/>
          <w:sz w:val="28"/>
          <w:szCs w:val="28"/>
        </w:rPr>
        <w:t>大家上午好！</w:t>
      </w:r>
    </w:p>
    <w:p>
      <w:pPr>
        <w:pStyle w:val="10"/>
        <w:adjustRightInd w:val="0"/>
        <w:snapToGrid w:val="0"/>
        <w:spacing w:before="0" w:beforeAutospacing="0" w:after="0" w:afterAutospacing="0" w:line="360" w:lineRule="auto"/>
        <w:ind w:firstLine="560" w:firstLineChars="200"/>
        <w:rPr>
          <w:sz w:val="28"/>
          <w:szCs w:val="28"/>
        </w:rPr>
      </w:pPr>
      <w:r>
        <w:rPr>
          <w:rFonts w:hint="eastAsia"/>
          <w:sz w:val="28"/>
          <w:szCs w:val="28"/>
        </w:rPr>
        <w:t>当前，正值开启“十四五”新征程，我国将进入新发展阶段，改革又到了一个新关头。今天，我们在这里召开学校“明德讲坛”暨课程思政领航计划负责人及骨干教师培训班成果交流会，汇报交流自学校课程思政建设进入2.0版以来，创新的工作方法和取得的阶段性成效。刚才，学校领航课程、领航团队、领航学院的教师代表和负责人代表分别作了研修成果分享，八位老师围绕教学设计、学习体会、工作思考与实践等分别作了各有侧重的交流发言，几位老师结合学科和专业特点，在教学中有效融入了家国情怀、国家战略、绿色发展理念等，非常好。</w:t>
      </w:r>
    </w:p>
    <w:p>
      <w:pPr>
        <w:pStyle w:val="10"/>
        <w:adjustRightInd w:val="0"/>
        <w:snapToGrid w:val="0"/>
        <w:spacing w:before="0" w:beforeAutospacing="0" w:after="0" w:afterAutospacing="0" w:line="360" w:lineRule="auto"/>
        <w:ind w:firstLine="560" w:firstLineChars="200"/>
        <w:rPr>
          <w:sz w:val="28"/>
          <w:szCs w:val="28"/>
        </w:rPr>
      </w:pPr>
      <w:r>
        <w:rPr>
          <w:rFonts w:hint="eastAsia"/>
          <w:sz w:val="28"/>
          <w:szCs w:val="28"/>
        </w:rPr>
        <w:t>在高校全面推进课程思政建设，是深入贯彻落实习近平新时代中国特色社会主义思想、习近平关于教育的重要论述、全国教育大会精神的重要举措，是学校坚持社会主义办学方向的重要举措，也是学校坚持立德树人根本任务，提高人才培养质量，建立育人长效机制的重要举措。</w:t>
      </w:r>
    </w:p>
    <w:p>
      <w:pPr>
        <w:pStyle w:val="10"/>
        <w:adjustRightInd w:val="0"/>
        <w:snapToGrid w:val="0"/>
        <w:spacing w:before="0" w:beforeAutospacing="0" w:after="0" w:afterAutospacing="0" w:line="360" w:lineRule="auto"/>
        <w:ind w:firstLine="560" w:firstLineChars="200"/>
        <w:rPr>
          <w:sz w:val="28"/>
          <w:szCs w:val="28"/>
        </w:rPr>
      </w:pPr>
      <w:r>
        <w:rPr>
          <w:rFonts w:hint="eastAsia"/>
          <w:sz w:val="28"/>
          <w:szCs w:val="28"/>
        </w:rPr>
        <w:t>2019年9月，以“上海高校课程思政整体改革领航高校”建设为契机，学校进入了课程思政建设新阶段（从1.0到2.0），全校上下坚持守正创新、回归本位，乘势而上、顺势而为，全面落实《高等学校课程思政建设指导纲要》精神，深入推进学校课程思政建设，取得了显著的成效。</w:t>
      </w:r>
    </w:p>
    <w:p>
      <w:pPr>
        <w:pStyle w:val="10"/>
        <w:adjustRightInd w:val="0"/>
        <w:snapToGrid w:val="0"/>
        <w:spacing w:before="0" w:beforeAutospacing="0" w:after="0" w:afterAutospacing="0" w:line="360" w:lineRule="auto"/>
        <w:ind w:firstLine="562" w:firstLineChars="200"/>
        <w:rPr>
          <w:b/>
          <w:sz w:val="28"/>
          <w:szCs w:val="28"/>
        </w:rPr>
      </w:pPr>
      <w:r>
        <w:rPr>
          <w:rFonts w:hint="eastAsia"/>
          <w:b/>
          <w:sz w:val="28"/>
          <w:szCs w:val="28"/>
        </w:rPr>
        <w:t>一、坚持“一把手”工程，做好课程思政建设的顶层设计</w:t>
      </w:r>
    </w:p>
    <w:p>
      <w:pPr>
        <w:pStyle w:val="10"/>
        <w:adjustRightInd w:val="0"/>
        <w:snapToGrid w:val="0"/>
        <w:spacing w:before="0" w:beforeAutospacing="0" w:after="0" w:afterAutospacing="0" w:line="360" w:lineRule="auto"/>
        <w:ind w:firstLine="560" w:firstLineChars="200"/>
        <w:rPr>
          <w:sz w:val="28"/>
          <w:szCs w:val="28"/>
        </w:rPr>
      </w:pPr>
      <w:r>
        <w:rPr>
          <w:rFonts w:hint="eastAsia"/>
          <w:sz w:val="28"/>
          <w:szCs w:val="28"/>
        </w:rPr>
        <w:t>学校明确了“建立党委统一领导，教务部门牵头抓总、相关部门协同联动、院系推进落实的工作格局”，构建了以“应用创新”深化课程思政建设的顶层设计，学校层面组建了课程思政教育教学改革指导委员会、课程思政教育教学改革办公室，每月一例会，每季度一汇报，切实推动课程思政建设工作向纵深发展。</w:t>
      </w:r>
    </w:p>
    <w:p>
      <w:pPr>
        <w:pStyle w:val="10"/>
        <w:adjustRightInd w:val="0"/>
        <w:snapToGrid w:val="0"/>
        <w:spacing w:before="0" w:beforeAutospacing="0" w:after="0" w:afterAutospacing="0" w:line="360" w:lineRule="auto"/>
        <w:rPr>
          <w:sz w:val="28"/>
          <w:szCs w:val="28"/>
        </w:rPr>
      </w:pPr>
      <w:r>
        <w:rPr>
          <w:rFonts w:hint="eastAsia"/>
          <w:sz w:val="28"/>
          <w:szCs w:val="28"/>
        </w:rPr>
        <w:t>学校立足办学定位和特色，以“厚德精技”为统领细化课程思政所应承担的目标追求和功能任务。通过确立应用型人才思想政治核心素养32个要点和未来工程师ASciT（爱科技）9大关键能力，做到将马克思主义立场观点方法与社会主义核心价值观相结合，与做人做事的使命担当和核心能力相结合，构成了课程思政顶层内容体系。形成了“以道驭术，学术逻辑与需求逻辑相结合”“盐溶于汤，课程教学与学科育人相结合”“守正创新，以理施教与以情优教相结合”的课程思政建设原则。</w:t>
      </w:r>
    </w:p>
    <w:p>
      <w:pPr>
        <w:pStyle w:val="10"/>
        <w:adjustRightInd w:val="0"/>
        <w:snapToGrid w:val="0"/>
        <w:spacing w:before="0" w:beforeAutospacing="0" w:after="0" w:afterAutospacing="0" w:line="360" w:lineRule="auto"/>
        <w:ind w:firstLine="562" w:firstLineChars="200"/>
        <w:rPr>
          <w:b/>
          <w:sz w:val="28"/>
          <w:szCs w:val="28"/>
        </w:rPr>
      </w:pPr>
      <w:r>
        <w:rPr>
          <w:rFonts w:hint="eastAsia"/>
          <w:b/>
          <w:sz w:val="28"/>
          <w:szCs w:val="28"/>
        </w:rPr>
        <w:t>二、多措并举，构建了课程思政建设系统模式</w:t>
      </w:r>
    </w:p>
    <w:p>
      <w:pPr>
        <w:pStyle w:val="10"/>
        <w:adjustRightInd w:val="0"/>
        <w:snapToGrid w:val="0"/>
        <w:spacing w:before="0" w:beforeAutospacing="0" w:after="0" w:afterAutospacing="0" w:line="360" w:lineRule="auto"/>
        <w:rPr>
          <w:sz w:val="28"/>
          <w:szCs w:val="28"/>
        </w:rPr>
      </w:pPr>
      <w:r>
        <w:rPr>
          <w:rFonts w:hint="eastAsia"/>
          <w:sz w:val="28"/>
          <w:szCs w:val="28"/>
        </w:rPr>
        <w:t>学校以建设课程思政整体改革领航高校为契机，确立了实施课程思政教学改革的五大工程。以“ASciT—OBE”培养模式改革带动课程思政建设（模），以创新课程教学设计实现思政元素的有效融入（课），以完善课程教学管理确保课程思政持续改进（管），以多层次研修体系提升教师育德意识和育德能力（师），以体制机制建设激活课程思政改革内生动力（制），形成了有上应特色系统化的课程思政建设系统模式。</w:t>
      </w:r>
    </w:p>
    <w:p>
      <w:pPr>
        <w:pStyle w:val="10"/>
        <w:adjustRightInd w:val="0"/>
        <w:snapToGrid w:val="0"/>
        <w:spacing w:before="0" w:beforeAutospacing="0" w:after="0" w:afterAutospacing="0" w:line="360" w:lineRule="auto"/>
        <w:ind w:firstLine="562" w:firstLineChars="200"/>
        <w:rPr>
          <w:b/>
          <w:sz w:val="28"/>
          <w:szCs w:val="28"/>
        </w:rPr>
      </w:pPr>
      <w:r>
        <w:rPr>
          <w:rFonts w:hint="eastAsia"/>
          <w:b/>
          <w:sz w:val="28"/>
          <w:szCs w:val="28"/>
        </w:rPr>
        <w:t>三、育人效果突显，形成可复制可推广的改革经验</w:t>
      </w:r>
    </w:p>
    <w:p>
      <w:pPr>
        <w:pStyle w:val="10"/>
        <w:adjustRightInd w:val="0"/>
        <w:snapToGrid w:val="0"/>
        <w:spacing w:before="0" w:beforeAutospacing="0" w:after="0" w:afterAutospacing="0" w:line="360" w:lineRule="auto"/>
        <w:rPr>
          <w:sz w:val="28"/>
          <w:szCs w:val="28"/>
        </w:rPr>
      </w:pPr>
      <w:r>
        <w:rPr>
          <w:rFonts w:hint="eastAsia"/>
          <w:sz w:val="28"/>
          <w:szCs w:val="28"/>
        </w:rPr>
        <w:t>调研显示，学生对课程思政的满意度达93.33%，欢迎度、接受度较高。2020届毕业生就业率达到96.03%，毕业生获得了“综合素质高、动手能力强、踏实肯干、具有团队精神”的社会赞誉，形成了可复制可推广的改革经验：2019年1月，校长柯勤飞在《中国教育报》发表署名文章《融合创新打造课程思政“金课”》，2020年9月，我代表学校参加上海高校课程思政教育教学改革工作推进会，并在大会上作主题发言，2020年9月，校长柯勤飞应邀出席河南省应用型本科高校主要领导干部研讨班并作专题报告。《光明日报》《中国教育报》《文汇报》等主流媒体30多次专题报道我校课程思政改革情况，取得了良好的社会效应。</w:t>
      </w:r>
    </w:p>
    <w:p>
      <w:pPr>
        <w:pStyle w:val="10"/>
        <w:adjustRightInd w:val="0"/>
        <w:snapToGrid w:val="0"/>
        <w:spacing w:before="0" w:beforeAutospacing="0" w:after="0" w:afterAutospacing="0" w:line="360" w:lineRule="auto"/>
        <w:ind w:firstLine="560" w:firstLineChars="200"/>
        <w:rPr>
          <w:sz w:val="28"/>
          <w:szCs w:val="28"/>
        </w:rPr>
      </w:pPr>
      <w:r>
        <w:rPr>
          <w:rFonts w:hint="eastAsia"/>
          <w:sz w:val="28"/>
          <w:szCs w:val="28"/>
        </w:rPr>
        <w:t>凡是过往，皆为序章。今年6月教育部印发《高等学校课程思政建设指导纲要》，随着课程思政建设工作的深入开展，课程思政已经发展为全国高校加强和改进思想政治工作的重要抓手。9月，上海高校课程思政教育教学改革工作推进会召开，会上发布了《关于深入推进上海高校课程思政建设的实施意见》。上海先行先试，优势发展的趋势更加明显。</w:t>
      </w:r>
    </w:p>
    <w:p>
      <w:pPr>
        <w:pStyle w:val="10"/>
        <w:adjustRightInd w:val="0"/>
        <w:snapToGrid w:val="0"/>
        <w:spacing w:before="0" w:beforeAutospacing="0" w:after="0" w:afterAutospacing="0" w:line="360" w:lineRule="auto"/>
        <w:ind w:firstLine="560" w:firstLineChars="200"/>
        <w:rPr>
          <w:sz w:val="28"/>
          <w:szCs w:val="28"/>
        </w:rPr>
      </w:pPr>
      <w:r>
        <w:rPr>
          <w:rFonts w:hint="eastAsia"/>
          <w:sz w:val="28"/>
          <w:szCs w:val="28"/>
        </w:rPr>
        <w:t>“十四五”期间，我们要继续坚持立德树人根本任务，将课程思政建设与学校办学定位和人才培养特色相结合，与地方高水平应用型高校建设相融合，与学校治理体系现代化相协调，继续以实施课程思政“五大工程”为抓手，推动课程思政“面上推进、系统集成”，在显著提升教师的育德能力、完善课程思政体制机制建设等方面实现突破，整体提升全校课程思政建设的科学性和实效性。</w:t>
      </w:r>
    </w:p>
    <w:p>
      <w:pPr>
        <w:pStyle w:val="10"/>
        <w:adjustRightInd w:val="0"/>
        <w:snapToGrid w:val="0"/>
        <w:spacing w:before="0" w:beforeAutospacing="0" w:after="0" w:afterAutospacing="0" w:line="360" w:lineRule="auto"/>
        <w:ind w:firstLine="560" w:firstLineChars="200"/>
        <w:rPr>
          <w:sz w:val="28"/>
          <w:szCs w:val="28"/>
        </w:rPr>
      </w:pPr>
      <w:r>
        <w:rPr>
          <w:rFonts w:hint="eastAsia"/>
          <w:sz w:val="28"/>
          <w:szCs w:val="28"/>
        </w:rPr>
        <w:t>下面，结合当前形势和下一阶段的工作，我谈三点意见：</w:t>
      </w:r>
    </w:p>
    <w:p>
      <w:pPr>
        <w:pStyle w:val="10"/>
        <w:adjustRightInd w:val="0"/>
        <w:snapToGrid w:val="0"/>
        <w:spacing w:before="0" w:beforeAutospacing="0" w:after="0" w:afterAutospacing="0" w:line="360" w:lineRule="auto"/>
        <w:ind w:firstLine="560" w:firstLineChars="200"/>
        <w:rPr>
          <w:sz w:val="28"/>
          <w:szCs w:val="28"/>
        </w:rPr>
      </w:pPr>
      <w:r>
        <w:rPr>
          <w:rFonts w:hint="eastAsia"/>
          <w:sz w:val="28"/>
          <w:szCs w:val="28"/>
        </w:rPr>
        <w:t>第一，全面推进课程思政建设，要坚持正确的政治方向。党的十九届五中全会审议通过《中共中央关于制定国民经济和社会发展第十四个五年规划和二〇三五年远景目标的建议》，吹响了开启全面建设社会主义现代化国家新征程、向第二个百年奋斗目标进军的冲锋号角，体现了以习近平同志为核心的党中央高瞻远瞩的战略眼光和强烈的历史担当，为全党全军全国各族人民凝心聚力、共同奋斗指明了前进方向，在中华民族伟大复兴的征程上具有重要里程碑意义。这一历史背景和现实历程为全面推进课程思政建设提供了遵循、指明了方向。课程思政建设意义重大，事关落实立德树人根本任务，我们要切实把思想认识统一到党中央、教育部、市教委的部署要求上来。头脑里面要弄清“干什么”“为什么干”“怎么干”的问题，建立课程思政建设体系，实现“三全育人”，并纳入工作绩效考核，用实际行动落实好这项工作。</w:t>
      </w:r>
    </w:p>
    <w:p>
      <w:pPr>
        <w:pStyle w:val="10"/>
        <w:adjustRightInd w:val="0"/>
        <w:snapToGrid w:val="0"/>
        <w:spacing w:before="0" w:beforeAutospacing="0" w:after="0" w:afterAutospacing="0" w:line="360" w:lineRule="auto"/>
        <w:ind w:firstLine="560" w:firstLineChars="200"/>
        <w:rPr>
          <w:sz w:val="28"/>
          <w:szCs w:val="28"/>
        </w:rPr>
      </w:pPr>
      <w:r>
        <w:rPr>
          <w:rFonts w:hint="eastAsia"/>
          <w:sz w:val="28"/>
          <w:szCs w:val="28"/>
        </w:rPr>
        <w:t>全面推进课程思政建设，是“十四五”期间学校建设的重要任务之一，在这一时期，课程思政建设的重心要下移到学院。校党委要积极谋划、扎实推进，要进一步加强和发挥各级党组织的领导力、引领力、组织力、号召力，实现顶层设计和分层落实的有机结合。发挥教师党支部“战斗堡垒”作用，定期组织召开教师党支部推进课程思政建设研讨会。在研讨过程中，要做到与党和国家大政方针、经济社会发展形势、国内国外局势紧密联系在一起，把课程的专业知识放在中华民族伟大复兴的战略全局、世界百年未有之大变局、经济社会发展大局的框架下讲清楚。</w:t>
      </w:r>
    </w:p>
    <w:p>
      <w:pPr>
        <w:pStyle w:val="10"/>
        <w:adjustRightInd w:val="0"/>
        <w:snapToGrid w:val="0"/>
        <w:spacing w:before="0" w:beforeAutospacing="0" w:after="0" w:afterAutospacing="0" w:line="360" w:lineRule="auto"/>
        <w:ind w:firstLine="560" w:firstLineChars="200"/>
        <w:rPr>
          <w:sz w:val="28"/>
          <w:szCs w:val="28"/>
        </w:rPr>
      </w:pPr>
      <w:r>
        <w:rPr>
          <w:rFonts w:hint="eastAsia"/>
          <w:sz w:val="28"/>
          <w:szCs w:val="28"/>
        </w:rPr>
        <w:t>要做到科学决策，一定要对国之大者心中有数，一定要全面权衡、科学决断，一定要综合评判、科学取舍。（1）把地区和部门的工作融入党和国家事业大棋局。国之大者，是事关党和国家事业兴衰成败的大政方针和战略部署，是带有全局性、根本性、长远性的问题，居于核心位置和优先地位。心中有数，就是把自己的工作、部门的工作、单位的工作、地区的工作放到“国之大者”中去思考，找准坐标、选准方位、瞄准靶心，尽力而为、顺势而为、有所作为。（2）深入研究、综合分析，全面权衡、科学决断。科学决策中的全面权衡、科学决断，就是要在全面掌握有关情况、相关信息的基础上，通过深入研究、综合分析，权衡利弊、科学研判，所作出的最后决断。善于决策、敢于决断体现领导者的勇气和魄力。这其中最为重要的是我们所掌握的信息要全面准确。信息不准确、信息不对称是科学决策的大忌。（3）开展可行性研究，多方听取意见，综合评判、科学取舍。科学决策的可行性研究，是决策领域屡试不爽的不二法门。决策是用来执行的，科学决策的执行必然会产生积极的效果，促进地区和部门经济社会的科学发展和高质量发展。一般来说，科学决策一定是可达的目标、可行的方案、可预期的效果，因此，作决策一定要开展可行性研究，实际上就是运用系统的分析方法，围绕影响决策的各种因素进行全面、系统的分析。（郭庆松：《对国之大者心中有数》，《中国纪检监察报》2020年11月10日）</w:t>
      </w:r>
    </w:p>
    <w:p>
      <w:pPr>
        <w:pStyle w:val="10"/>
        <w:adjustRightInd w:val="0"/>
        <w:snapToGrid w:val="0"/>
        <w:spacing w:before="0" w:beforeAutospacing="0" w:after="0" w:afterAutospacing="0" w:line="360" w:lineRule="auto"/>
        <w:ind w:firstLine="560" w:firstLineChars="200"/>
        <w:rPr>
          <w:sz w:val="28"/>
          <w:szCs w:val="28"/>
        </w:rPr>
      </w:pPr>
      <w:r>
        <w:rPr>
          <w:rFonts w:hint="eastAsia"/>
          <w:sz w:val="28"/>
          <w:szCs w:val="28"/>
        </w:rPr>
        <w:t>第二，全面推进课程思政建设，要抓好教师队伍“主力军”。紧紧抓住教师队伍建设，树立“教育者先受教育”的理念，以进一步提升全体教师育德能力为目标，建设多方位、多层次的研修体系。坚持以学校、学院、教研室、教师四个梯度推动课程思政“主力军”建设，突出学科专业带头人、责任教授等高水平专家在课程思政建设中的引领作用，将课程思政建设纳入每年的教师岗前培训、在岗培训以及师德师风、教学能力提升等专题培训中，举办课程思政骨干教师专题培训班，覆盖领航计划全体教师，辐射各学院各专业的老师，做到全校教师全覆盖。校院两级要加强组织领导、强化评价督导、积极选树典型，起到示范引领的良好效果。建立健全优质资源共享机制，分学科专业常态化开展经验交流、教学观摩等活动。</w:t>
      </w:r>
    </w:p>
    <w:p>
      <w:pPr>
        <w:pStyle w:val="10"/>
        <w:adjustRightInd w:val="0"/>
        <w:snapToGrid w:val="0"/>
        <w:spacing w:before="0" w:beforeAutospacing="0" w:after="0" w:afterAutospacing="0" w:line="360" w:lineRule="auto"/>
        <w:ind w:firstLine="700" w:firstLineChars="250"/>
        <w:rPr>
          <w:sz w:val="28"/>
          <w:szCs w:val="28"/>
        </w:rPr>
      </w:pPr>
      <w:r>
        <w:rPr>
          <w:rFonts w:hint="eastAsia"/>
          <w:sz w:val="28"/>
          <w:szCs w:val="28"/>
        </w:rPr>
        <w:t>第三，全面推进课程思政建设，要守好课程建设“主战场”。将课程思政的实施需要和学校不同学科不同类型的课程目标紧密结合起来。将全面推进课程思政建设与一流专业、一流课程建设密切结合。逐步扩大领航课程建设的范围，以“课程思政”赋能“金课”建设，助力一流课程、一流专业的建设工作。围绕学校三大学科专业群，按照“自上而下”和“自下而上”两条路径研制7大专业类的课程思政教学指南、操作规范和优秀案例。分类做好公共基础课程、专业课程和实践类课程的课程思政建设，基于不同课程类型细化建设重点和具体举措，实现思政链与课程链的对接，实现课程思政与专业思政、学科思政的统筹。形成覆盖三大学科专业群的课程思政教学指南和涵盖公共基础课、专业课、实践课等不同类型的课程思政操作规范和优秀案例。</w:t>
      </w:r>
    </w:p>
    <w:p>
      <w:pPr>
        <w:pStyle w:val="10"/>
        <w:adjustRightInd w:val="0"/>
        <w:snapToGrid w:val="0"/>
        <w:spacing w:before="0" w:beforeAutospacing="0" w:after="0" w:afterAutospacing="0" w:line="360" w:lineRule="auto"/>
        <w:ind w:firstLine="560" w:firstLineChars="200"/>
        <w:rPr>
          <w:sz w:val="28"/>
          <w:szCs w:val="28"/>
        </w:rPr>
      </w:pPr>
      <w:r>
        <w:rPr>
          <w:rFonts w:hint="eastAsia"/>
          <w:sz w:val="28"/>
          <w:szCs w:val="28"/>
        </w:rPr>
        <w:t>谢谢大家！</w:t>
      </w:r>
    </w:p>
    <w:p>
      <w:pPr>
        <w:spacing w:line="360" w:lineRule="auto"/>
        <w:rPr>
          <w:rFonts w:ascii="宋体" w:hAnsi="宋体" w:eastAsia="宋体" w:cs="宋体"/>
          <w:sz w:val="28"/>
          <w:szCs w:val="28"/>
        </w:rPr>
      </w:pPr>
      <w:r>
        <w:rPr>
          <w:rFonts w:hint="eastAsia" w:ascii="宋体" w:hAnsi="宋体" w:eastAsia="宋体" w:cs="宋体"/>
          <w:sz w:val="28"/>
          <w:szCs w:val="28"/>
        </w:rPr>
        <w:br w:type="page"/>
      </w:r>
    </w:p>
    <w:p>
      <w:pPr>
        <w:pStyle w:val="2"/>
        <w:spacing w:before="0" w:after="0" w:line="360" w:lineRule="auto"/>
        <w:jc w:val="center"/>
        <w:rPr>
          <w:rFonts w:asciiTheme="minorEastAsia" w:hAnsiTheme="minorEastAsia"/>
          <w:sz w:val="30"/>
          <w:szCs w:val="30"/>
        </w:rPr>
      </w:pPr>
      <w:bookmarkStart w:id="3" w:name="_Toc131671168"/>
      <w:r>
        <w:rPr>
          <w:rFonts w:hint="eastAsia" w:asciiTheme="minorEastAsia" w:hAnsiTheme="minorEastAsia"/>
          <w:sz w:val="30"/>
          <w:szCs w:val="30"/>
        </w:rPr>
        <w:t>上海应用技术大学课程思政领航计划负责人及骨干教师培训开班</w:t>
      </w:r>
      <w:r>
        <w:rPr>
          <w:rFonts w:asciiTheme="minorEastAsia" w:hAnsiTheme="minorEastAsia"/>
          <w:sz w:val="30"/>
          <w:szCs w:val="30"/>
        </w:rPr>
        <w:t>仪式上的动员讲话</w:t>
      </w:r>
      <w:bookmarkEnd w:id="3"/>
    </w:p>
    <w:p>
      <w:pPr>
        <w:spacing w:line="360" w:lineRule="auto"/>
        <w:jc w:val="center"/>
        <w:rPr>
          <w:rFonts w:ascii="仿宋" w:hAnsi="仿宋" w:eastAsia="仿宋"/>
          <w:b/>
          <w:sz w:val="32"/>
          <w:szCs w:val="32"/>
        </w:rPr>
      </w:pPr>
      <w:r>
        <w:rPr>
          <w:rFonts w:hint="eastAsia" w:ascii="仿宋" w:hAnsi="仿宋" w:eastAsia="仿宋"/>
          <w:b/>
          <w:sz w:val="32"/>
          <w:szCs w:val="32"/>
        </w:rPr>
        <w:t>校长</w:t>
      </w:r>
      <w:r>
        <w:rPr>
          <w:rFonts w:ascii="仿宋" w:hAnsi="仿宋" w:eastAsia="仿宋"/>
          <w:b/>
          <w:sz w:val="32"/>
          <w:szCs w:val="32"/>
        </w:rPr>
        <w:t xml:space="preserve"> </w:t>
      </w:r>
      <w:r>
        <w:rPr>
          <w:rFonts w:hint="eastAsia" w:ascii="仿宋" w:hAnsi="仿宋" w:eastAsia="仿宋"/>
          <w:b/>
          <w:sz w:val="32"/>
          <w:szCs w:val="32"/>
        </w:rPr>
        <w:t>柯勤飞</w:t>
      </w:r>
    </w:p>
    <w:p>
      <w:pPr>
        <w:spacing w:line="360" w:lineRule="auto"/>
        <w:ind w:firstLine="3080" w:firstLineChars="1100"/>
        <w:rPr>
          <w:rFonts w:ascii="宋体" w:hAnsi="宋体" w:eastAsia="宋体"/>
          <w:sz w:val="28"/>
          <w:szCs w:val="28"/>
        </w:rPr>
      </w:pPr>
      <w:r>
        <w:rPr>
          <w:rFonts w:hint="eastAsia" w:ascii="宋体" w:hAnsi="宋体" w:eastAsia="宋体"/>
          <w:sz w:val="28"/>
          <w:szCs w:val="28"/>
        </w:rPr>
        <w:t>2020年６月24日</w:t>
      </w:r>
    </w:p>
    <w:p>
      <w:pPr>
        <w:spacing w:line="360" w:lineRule="auto"/>
        <w:ind w:firstLine="548" w:firstLineChars="196"/>
        <w:rPr>
          <w:rFonts w:ascii="仿宋" w:hAnsi="仿宋" w:eastAsia="仿宋"/>
          <w:b/>
          <w:sz w:val="32"/>
          <w:szCs w:val="32"/>
        </w:rPr>
      </w:pPr>
      <w:r>
        <w:rPr>
          <w:rFonts w:ascii="宋体" w:hAnsi="宋体" w:eastAsia="宋体"/>
          <w:sz w:val="28"/>
          <w:szCs w:val="28"/>
        </w:rPr>
        <w:t>老师们、同志们：</w:t>
      </w:r>
    </w:p>
    <w:p>
      <w:pPr>
        <w:spacing w:line="360" w:lineRule="auto"/>
        <w:ind w:firstLine="560" w:firstLineChars="200"/>
        <w:rPr>
          <w:rFonts w:ascii="宋体" w:hAnsi="宋体" w:eastAsia="宋体"/>
          <w:sz w:val="28"/>
          <w:szCs w:val="28"/>
        </w:rPr>
      </w:pPr>
      <w:r>
        <w:rPr>
          <w:rFonts w:hint="eastAsia" w:ascii="宋体" w:hAnsi="宋体" w:eastAsia="宋体"/>
          <w:sz w:val="28"/>
          <w:szCs w:val="28"/>
        </w:rPr>
        <w:t>大家上午好！</w:t>
      </w:r>
    </w:p>
    <w:p>
      <w:pPr>
        <w:spacing w:line="360" w:lineRule="auto"/>
        <w:ind w:firstLine="560" w:firstLineChars="200"/>
        <w:rPr>
          <w:rFonts w:ascii="宋体" w:hAnsi="宋体" w:eastAsia="宋体"/>
          <w:sz w:val="28"/>
          <w:szCs w:val="28"/>
        </w:rPr>
      </w:pPr>
      <w:r>
        <w:rPr>
          <w:rFonts w:hint="eastAsia" w:ascii="宋体" w:hAnsi="宋体" w:eastAsia="宋体"/>
          <w:sz w:val="28"/>
          <w:szCs w:val="28"/>
        </w:rPr>
        <w:t>2020年是</w:t>
      </w:r>
      <w:r>
        <w:rPr>
          <w:rFonts w:ascii="宋体" w:hAnsi="宋体" w:eastAsia="宋体"/>
          <w:sz w:val="28"/>
          <w:szCs w:val="28"/>
        </w:rPr>
        <w:t>课程思政</w:t>
      </w:r>
      <w:r>
        <w:rPr>
          <w:rFonts w:hint="eastAsia" w:ascii="宋体" w:hAnsi="宋体" w:eastAsia="宋体"/>
          <w:sz w:val="28"/>
          <w:szCs w:val="28"/>
        </w:rPr>
        <w:t>建设</w:t>
      </w:r>
      <w:r>
        <w:rPr>
          <w:rFonts w:ascii="宋体" w:hAnsi="宋体" w:eastAsia="宋体"/>
          <w:sz w:val="28"/>
          <w:szCs w:val="28"/>
        </w:rPr>
        <w:t>的关键一年。</w:t>
      </w:r>
      <w:r>
        <w:rPr>
          <w:rFonts w:hint="eastAsia" w:ascii="宋体" w:hAnsi="宋体" w:eastAsia="宋体"/>
          <w:sz w:val="28"/>
          <w:szCs w:val="28"/>
        </w:rPr>
        <w:t>教育部</w:t>
      </w:r>
      <w:r>
        <w:rPr>
          <w:rFonts w:ascii="宋体" w:hAnsi="宋体" w:eastAsia="宋体"/>
          <w:sz w:val="28"/>
          <w:szCs w:val="28"/>
        </w:rPr>
        <w:t>等</w:t>
      </w:r>
      <w:r>
        <w:rPr>
          <w:rFonts w:hint="eastAsia" w:ascii="宋体" w:hAnsi="宋体" w:eastAsia="宋体"/>
          <w:sz w:val="28"/>
          <w:szCs w:val="28"/>
        </w:rPr>
        <w:t>8部门于4月22日发布了《关于加快构建高校思想政治工作体系的意见》，</w:t>
      </w:r>
      <w:r>
        <w:rPr>
          <w:rFonts w:ascii="宋体" w:hAnsi="宋体" w:eastAsia="宋体"/>
          <w:sz w:val="28"/>
          <w:szCs w:val="28"/>
        </w:rPr>
        <w:t>教育部又随后</w:t>
      </w:r>
      <w:r>
        <w:rPr>
          <w:rFonts w:hint="eastAsia" w:ascii="宋体" w:hAnsi="宋体" w:eastAsia="宋体"/>
          <w:sz w:val="28"/>
          <w:szCs w:val="28"/>
        </w:rPr>
        <w:t>于5月28日</w:t>
      </w:r>
      <w:r>
        <w:rPr>
          <w:rFonts w:ascii="宋体" w:hAnsi="宋体" w:eastAsia="宋体"/>
          <w:sz w:val="28"/>
          <w:szCs w:val="28"/>
        </w:rPr>
        <w:t>发布了</w:t>
      </w:r>
      <w:r>
        <w:rPr>
          <w:rFonts w:hint="eastAsia" w:ascii="宋体" w:hAnsi="宋体" w:eastAsia="宋体"/>
          <w:sz w:val="28"/>
          <w:szCs w:val="28"/>
        </w:rPr>
        <w:t>《高等学校课程思政建设指导纲要》。这些</w:t>
      </w:r>
      <w:r>
        <w:rPr>
          <w:rFonts w:ascii="宋体" w:hAnsi="宋体" w:eastAsia="宋体"/>
          <w:sz w:val="28"/>
          <w:szCs w:val="28"/>
        </w:rPr>
        <w:t>文件</w:t>
      </w:r>
      <w:r>
        <w:rPr>
          <w:rFonts w:hint="eastAsia" w:ascii="宋体" w:hAnsi="宋体" w:eastAsia="宋体"/>
          <w:sz w:val="28"/>
          <w:szCs w:val="28"/>
        </w:rPr>
        <w:t>的</w:t>
      </w:r>
      <w:r>
        <w:rPr>
          <w:rFonts w:ascii="宋体" w:hAnsi="宋体" w:eastAsia="宋体"/>
          <w:sz w:val="28"/>
          <w:szCs w:val="28"/>
        </w:rPr>
        <w:t>发布，</w:t>
      </w:r>
      <w:r>
        <w:rPr>
          <w:rFonts w:hint="eastAsia" w:ascii="宋体" w:hAnsi="宋体" w:eastAsia="宋体"/>
          <w:sz w:val="28"/>
          <w:szCs w:val="28"/>
        </w:rPr>
        <w:t>将</w:t>
      </w:r>
      <w:r>
        <w:rPr>
          <w:rFonts w:ascii="宋体" w:hAnsi="宋体" w:eastAsia="宋体"/>
          <w:sz w:val="28"/>
          <w:szCs w:val="28"/>
        </w:rPr>
        <w:t>发端于上海的课程思政进一步</w:t>
      </w:r>
      <w:r>
        <w:rPr>
          <w:rFonts w:hint="eastAsia" w:ascii="宋体" w:hAnsi="宋体" w:eastAsia="宋体"/>
          <w:sz w:val="28"/>
          <w:szCs w:val="28"/>
        </w:rPr>
        <w:t>确立</w:t>
      </w:r>
      <w:r>
        <w:rPr>
          <w:rFonts w:ascii="宋体" w:hAnsi="宋体" w:eastAsia="宋体"/>
          <w:sz w:val="28"/>
          <w:szCs w:val="28"/>
        </w:rPr>
        <w:t>为国家</w:t>
      </w:r>
      <w:r>
        <w:rPr>
          <w:rFonts w:hint="eastAsia" w:ascii="宋体" w:hAnsi="宋体" w:eastAsia="宋体"/>
          <w:sz w:val="28"/>
          <w:szCs w:val="28"/>
        </w:rPr>
        <w:t>层面落实</w:t>
      </w:r>
      <w:r>
        <w:rPr>
          <w:rFonts w:ascii="宋体" w:hAnsi="宋体" w:eastAsia="宋体"/>
          <w:sz w:val="28"/>
          <w:szCs w:val="28"/>
        </w:rPr>
        <w:t>立德树人</w:t>
      </w:r>
      <w:r>
        <w:rPr>
          <w:rFonts w:hint="eastAsia" w:ascii="宋体" w:hAnsi="宋体" w:eastAsia="宋体"/>
          <w:sz w:val="28"/>
          <w:szCs w:val="28"/>
        </w:rPr>
        <w:t>根本任务</w:t>
      </w:r>
      <w:r>
        <w:rPr>
          <w:rFonts w:ascii="宋体" w:hAnsi="宋体" w:eastAsia="宋体"/>
          <w:sz w:val="28"/>
          <w:szCs w:val="28"/>
        </w:rPr>
        <w:t>的战略举措</w:t>
      </w:r>
      <w:r>
        <w:rPr>
          <w:rFonts w:hint="eastAsia" w:ascii="宋体" w:hAnsi="宋体" w:eastAsia="宋体"/>
          <w:sz w:val="28"/>
          <w:szCs w:val="28"/>
        </w:rPr>
        <w:t>。我们学校先后获批上海市课程思政教育教学改革重点培育校、上海高校课程思政整体改革领航高校，为上海高校课程思政改革探索贡献</w:t>
      </w:r>
      <w:r>
        <w:rPr>
          <w:rFonts w:ascii="宋体" w:hAnsi="宋体" w:eastAsia="宋体"/>
          <w:sz w:val="28"/>
          <w:szCs w:val="28"/>
        </w:rPr>
        <w:t>“</w:t>
      </w:r>
      <w:r>
        <w:rPr>
          <w:rFonts w:hint="eastAsia" w:ascii="宋体" w:hAnsi="宋体" w:eastAsia="宋体"/>
          <w:sz w:val="28"/>
          <w:szCs w:val="28"/>
        </w:rPr>
        <w:t>上应经验</w:t>
      </w:r>
      <w:r>
        <w:rPr>
          <w:rFonts w:ascii="宋体" w:hAnsi="宋体" w:eastAsia="宋体"/>
          <w:sz w:val="28"/>
          <w:szCs w:val="28"/>
        </w:rPr>
        <w:t>”</w:t>
      </w:r>
      <w:r>
        <w:rPr>
          <w:rFonts w:hint="eastAsia" w:ascii="宋体" w:hAnsi="宋体" w:eastAsia="宋体"/>
          <w:sz w:val="28"/>
          <w:szCs w:val="28"/>
        </w:rPr>
        <w:t>，彰显</w:t>
      </w:r>
      <w:r>
        <w:rPr>
          <w:rFonts w:ascii="宋体" w:hAnsi="宋体" w:eastAsia="宋体"/>
          <w:sz w:val="28"/>
          <w:szCs w:val="28"/>
        </w:rPr>
        <w:t>“</w:t>
      </w:r>
      <w:r>
        <w:rPr>
          <w:rFonts w:hint="eastAsia" w:ascii="宋体" w:hAnsi="宋体" w:eastAsia="宋体"/>
          <w:sz w:val="28"/>
          <w:szCs w:val="28"/>
        </w:rPr>
        <w:t>上应智慧</w:t>
      </w:r>
      <w:r>
        <w:rPr>
          <w:rFonts w:ascii="宋体" w:hAnsi="宋体" w:eastAsia="宋体"/>
          <w:sz w:val="28"/>
          <w:szCs w:val="28"/>
        </w:rPr>
        <w:t>”</w:t>
      </w:r>
      <w:r>
        <w:rPr>
          <w:rFonts w:hint="eastAsia" w:ascii="宋体" w:hAnsi="宋体" w:eastAsia="宋体"/>
          <w:sz w:val="28"/>
          <w:szCs w:val="28"/>
        </w:rPr>
        <w:t>。这</w:t>
      </w:r>
      <w:r>
        <w:rPr>
          <w:rFonts w:ascii="宋体" w:hAnsi="宋体" w:eastAsia="宋体"/>
          <w:sz w:val="28"/>
          <w:szCs w:val="28"/>
        </w:rPr>
        <w:t>也</w:t>
      </w:r>
      <w:r>
        <w:rPr>
          <w:rFonts w:hint="eastAsia" w:ascii="宋体" w:hAnsi="宋体" w:eastAsia="宋体"/>
          <w:sz w:val="28"/>
          <w:szCs w:val="28"/>
        </w:rPr>
        <w:t>就要求</w:t>
      </w:r>
      <w:r>
        <w:rPr>
          <w:rFonts w:ascii="宋体" w:hAnsi="宋体" w:eastAsia="宋体"/>
          <w:sz w:val="28"/>
          <w:szCs w:val="28"/>
        </w:rPr>
        <w:t>我校</w:t>
      </w:r>
      <w:r>
        <w:rPr>
          <w:rFonts w:hint="eastAsia" w:ascii="宋体" w:hAnsi="宋体" w:eastAsia="宋体"/>
          <w:sz w:val="28"/>
          <w:szCs w:val="28"/>
        </w:rPr>
        <w:t>必须</w:t>
      </w:r>
      <w:r>
        <w:rPr>
          <w:rFonts w:ascii="宋体" w:hAnsi="宋体" w:eastAsia="宋体"/>
          <w:sz w:val="28"/>
          <w:szCs w:val="28"/>
        </w:rPr>
        <w:t>以更高的站位、更宽的视野</w:t>
      </w:r>
      <w:r>
        <w:rPr>
          <w:rFonts w:hint="eastAsia" w:ascii="宋体" w:hAnsi="宋体" w:eastAsia="宋体"/>
          <w:sz w:val="28"/>
          <w:szCs w:val="28"/>
        </w:rPr>
        <w:t>和</w:t>
      </w:r>
      <w:r>
        <w:rPr>
          <w:rFonts w:ascii="宋体" w:hAnsi="宋体" w:eastAsia="宋体"/>
          <w:sz w:val="28"/>
          <w:szCs w:val="28"/>
        </w:rPr>
        <w:t>更扎实的举措</w:t>
      </w:r>
      <w:r>
        <w:rPr>
          <w:rFonts w:hint="eastAsia" w:ascii="宋体" w:hAnsi="宋体" w:eastAsia="宋体"/>
          <w:sz w:val="28"/>
          <w:szCs w:val="28"/>
        </w:rPr>
        <w:t>推进</w:t>
      </w:r>
      <w:r>
        <w:rPr>
          <w:rFonts w:ascii="宋体" w:hAnsi="宋体" w:eastAsia="宋体"/>
          <w:sz w:val="28"/>
          <w:szCs w:val="28"/>
        </w:rPr>
        <w:t>课程思政</w:t>
      </w:r>
      <w:r>
        <w:rPr>
          <w:rFonts w:hint="eastAsia" w:ascii="宋体" w:hAnsi="宋体" w:eastAsia="宋体"/>
          <w:sz w:val="28"/>
          <w:szCs w:val="28"/>
        </w:rPr>
        <w:t>2.0建设，进一步结合学校</w:t>
      </w:r>
      <w:r>
        <w:rPr>
          <w:rFonts w:ascii="宋体" w:hAnsi="宋体" w:eastAsia="宋体"/>
          <w:sz w:val="28"/>
          <w:szCs w:val="28"/>
        </w:rPr>
        <w:t>特色、学科特质和课程特点开展课程思政</w:t>
      </w:r>
      <w:r>
        <w:rPr>
          <w:rFonts w:hint="eastAsia" w:ascii="宋体" w:hAnsi="宋体" w:eastAsia="宋体"/>
          <w:sz w:val="28"/>
          <w:szCs w:val="28"/>
        </w:rPr>
        <w:t>教学改革</w:t>
      </w:r>
      <w:r>
        <w:rPr>
          <w:rFonts w:ascii="宋体" w:hAnsi="宋体" w:eastAsia="宋体"/>
          <w:sz w:val="28"/>
          <w:szCs w:val="28"/>
        </w:rPr>
        <w:t>。</w:t>
      </w:r>
    </w:p>
    <w:p>
      <w:pPr>
        <w:spacing w:line="360" w:lineRule="auto"/>
        <w:ind w:firstLine="560" w:firstLineChars="200"/>
        <w:rPr>
          <w:rFonts w:ascii="宋体" w:hAnsi="宋体" w:eastAsia="宋体"/>
          <w:sz w:val="28"/>
          <w:szCs w:val="28"/>
        </w:rPr>
      </w:pPr>
      <w:r>
        <w:rPr>
          <w:rFonts w:hint="eastAsia" w:ascii="宋体" w:hAnsi="宋体" w:eastAsia="宋体"/>
          <w:sz w:val="28"/>
          <w:szCs w:val="28"/>
        </w:rPr>
        <w:t>在5月22日召开</w:t>
      </w:r>
      <w:r>
        <w:rPr>
          <w:rFonts w:ascii="宋体" w:hAnsi="宋体" w:eastAsia="宋体"/>
          <w:sz w:val="28"/>
          <w:szCs w:val="28"/>
        </w:rPr>
        <w:t>的</w:t>
      </w:r>
      <w:r>
        <w:rPr>
          <w:rFonts w:hint="eastAsia" w:ascii="宋体" w:hAnsi="宋体" w:eastAsia="宋体"/>
          <w:sz w:val="28"/>
          <w:szCs w:val="28"/>
        </w:rPr>
        <w:t>上海应用技术大学课程思政整体改革建设推进会上，</w:t>
      </w:r>
      <w:r>
        <w:rPr>
          <w:rFonts w:ascii="宋体" w:hAnsi="宋体" w:eastAsia="宋体"/>
          <w:sz w:val="28"/>
          <w:szCs w:val="28"/>
        </w:rPr>
        <w:t>我</w:t>
      </w:r>
      <w:r>
        <w:rPr>
          <w:rFonts w:hint="eastAsia" w:ascii="宋体" w:hAnsi="宋体" w:eastAsia="宋体"/>
          <w:sz w:val="28"/>
          <w:szCs w:val="28"/>
        </w:rPr>
        <w:t>曾就如何做好课程思政整体改革建设，提出</w:t>
      </w:r>
      <w:r>
        <w:rPr>
          <w:rFonts w:ascii="宋体" w:hAnsi="宋体" w:eastAsia="宋体"/>
          <w:sz w:val="28"/>
          <w:szCs w:val="28"/>
        </w:rPr>
        <w:t>了</w:t>
      </w:r>
      <w:r>
        <w:rPr>
          <w:rFonts w:hint="eastAsia" w:ascii="宋体" w:hAnsi="宋体" w:eastAsia="宋体"/>
          <w:sz w:val="28"/>
          <w:szCs w:val="28"/>
        </w:rPr>
        <w:t>三点要求。希望我们以课程思政金课建设、名师培育、理论研究等“五大工程”为抓手，以学生为本、教师为要、成果为重、文化为魂等“六大目标”为引领，不断推进应用创新型高校课程思政改革实践。今天我们在这里举行 “课程思政领航计划负责人及骨干教师培训班”就是要抓住教师队伍“主力军”，实施课程思政名师培育工程，促使课程思政的理念形成广泛共识。党委</w:t>
      </w:r>
      <w:r>
        <w:rPr>
          <w:rFonts w:ascii="宋体" w:hAnsi="宋体" w:eastAsia="宋体"/>
          <w:sz w:val="28"/>
          <w:szCs w:val="28"/>
        </w:rPr>
        <w:t>教师工作部</w:t>
      </w:r>
      <w:r>
        <w:rPr>
          <w:rFonts w:hint="eastAsia" w:ascii="宋体" w:hAnsi="宋体" w:eastAsia="宋体"/>
          <w:sz w:val="28"/>
          <w:szCs w:val="28"/>
        </w:rPr>
        <w:t>和教务处</w:t>
      </w:r>
      <w:r>
        <w:rPr>
          <w:rFonts w:ascii="宋体" w:hAnsi="宋体" w:eastAsia="宋体"/>
          <w:sz w:val="28"/>
          <w:szCs w:val="28"/>
        </w:rPr>
        <w:t>精心</w:t>
      </w:r>
      <w:r>
        <w:rPr>
          <w:rFonts w:hint="eastAsia" w:ascii="宋体" w:hAnsi="宋体" w:eastAsia="宋体"/>
          <w:sz w:val="28"/>
          <w:szCs w:val="28"/>
        </w:rPr>
        <w:t>组织</w:t>
      </w:r>
      <w:r>
        <w:rPr>
          <w:rFonts w:ascii="宋体" w:hAnsi="宋体" w:eastAsia="宋体"/>
          <w:sz w:val="28"/>
          <w:szCs w:val="28"/>
        </w:rPr>
        <w:t>了</w:t>
      </w:r>
      <w:r>
        <w:rPr>
          <w:rFonts w:hint="eastAsia" w:ascii="宋体" w:hAnsi="宋体" w:eastAsia="宋体"/>
          <w:sz w:val="28"/>
          <w:szCs w:val="28"/>
        </w:rPr>
        <w:t>课程思政领航计划负责人及骨干</w:t>
      </w:r>
      <w:r>
        <w:rPr>
          <w:rFonts w:ascii="宋体" w:hAnsi="宋体" w:eastAsia="宋体"/>
          <w:sz w:val="28"/>
          <w:szCs w:val="28"/>
        </w:rPr>
        <w:t>教师培训系列</w:t>
      </w:r>
      <w:r>
        <w:rPr>
          <w:rFonts w:hint="eastAsia" w:ascii="宋体" w:hAnsi="宋体" w:eastAsia="宋体"/>
          <w:sz w:val="28"/>
          <w:szCs w:val="28"/>
        </w:rPr>
        <w:t>模块</w:t>
      </w:r>
      <w:r>
        <w:rPr>
          <w:rFonts w:ascii="宋体" w:hAnsi="宋体" w:eastAsia="宋体"/>
          <w:sz w:val="28"/>
          <w:szCs w:val="28"/>
        </w:rPr>
        <w:t>活动</w:t>
      </w:r>
      <w:r>
        <w:rPr>
          <w:rFonts w:hint="eastAsia" w:ascii="宋体" w:hAnsi="宋体" w:eastAsia="宋体"/>
          <w:sz w:val="28"/>
          <w:szCs w:val="28"/>
        </w:rPr>
        <w:t>，目的是帮助</w:t>
      </w:r>
      <w:r>
        <w:rPr>
          <w:rFonts w:ascii="宋体" w:hAnsi="宋体" w:eastAsia="宋体"/>
          <w:sz w:val="28"/>
          <w:szCs w:val="28"/>
        </w:rPr>
        <w:t>全校教师</w:t>
      </w:r>
      <w:r>
        <w:rPr>
          <w:rFonts w:hint="eastAsia" w:ascii="宋体" w:hAnsi="宋体" w:eastAsia="宋体"/>
          <w:sz w:val="28"/>
          <w:szCs w:val="28"/>
        </w:rPr>
        <w:t>尤其是核心关键负责人</w:t>
      </w:r>
      <w:r>
        <w:rPr>
          <w:rFonts w:ascii="宋体" w:hAnsi="宋体" w:eastAsia="宋体"/>
          <w:sz w:val="28"/>
          <w:szCs w:val="28"/>
        </w:rPr>
        <w:t>进一步提升育德意识和育德能力，</w:t>
      </w:r>
      <w:r>
        <w:rPr>
          <w:rFonts w:hint="eastAsia" w:ascii="宋体" w:hAnsi="宋体" w:eastAsia="宋体"/>
          <w:sz w:val="28"/>
          <w:szCs w:val="28"/>
        </w:rPr>
        <w:t>理解</w:t>
      </w:r>
      <w:r>
        <w:rPr>
          <w:rFonts w:ascii="宋体" w:hAnsi="宋体" w:eastAsia="宋体"/>
          <w:sz w:val="28"/>
          <w:szCs w:val="28"/>
        </w:rPr>
        <w:t>课程思政的新形势，</w:t>
      </w:r>
      <w:r>
        <w:rPr>
          <w:rFonts w:hint="eastAsia" w:ascii="宋体" w:hAnsi="宋体" w:eastAsia="宋体"/>
          <w:sz w:val="28"/>
          <w:szCs w:val="28"/>
        </w:rPr>
        <w:t>明确</w:t>
      </w:r>
      <w:r>
        <w:rPr>
          <w:rFonts w:ascii="宋体" w:hAnsi="宋体" w:eastAsia="宋体"/>
          <w:sz w:val="28"/>
          <w:szCs w:val="28"/>
        </w:rPr>
        <w:t>课程思政的新任务，创生课程思政的新经验。</w:t>
      </w:r>
    </w:p>
    <w:p>
      <w:pPr>
        <w:spacing w:line="360" w:lineRule="auto"/>
        <w:rPr>
          <w:rFonts w:ascii="宋体" w:hAnsi="宋体" w:eastAsia="宋体" w:cs="微软雅黑"/>
          <w:color w:val="4B4B4B"/>
          <w:sz w:val="28"/>
          <w:szCs w:val="28"/>
          <w:shd w:val="clear" w:color="auto" w:fill="FFFFFF"/>
        </w:rPr>
      </w:pPr>
      <w:r>
        <w:rPr>
          <w:rFonts w:ascii="宋体" w:hAnsi="宋体" w:eastAsia="宋体"/>
          <w:sz w:val="28"/>
          <w:szCs w:val="28"/>
        </w:rPr>
        <w:t>今天</w:t>
      </w:r>
      <w:r>
        <w:rPr>
          <w:rFonts w:hint="eastAsia" w:ascii="宋体" w:hAnsi="宋体" w:eastAsia="宋体"/>
          <w:sz w:val="28"/>
          <w:szCs w:val="28"/>
        </w:rPr>
        <w:t>，就如何做好课程思政整体改革建设，有力推动我校课程思政领航计划的实施和推进，我</w:t>
      </w:r>
      <w:r>
        <w:rPr>
          <w:rFonts w:ascii="宋体" w:hAnsi="宋体" w:eastAsia="宋体"/>
          <w:sz w:val="28"/>
          <w:szCs w:val="28"/>
        </w:rPr>
        <w:t>想在这里</w:t>
      </w:r>
      <w:r>
        <w:rPr>
          <w:rFonts w:hint="eastAsia" w:ascii="宋体" w:hAnsi="宋体" w:eastAsia="宋体"/>
          <w:sz w:val="28"/>
          <w:szCs w:val="28"/>
        </w:rPr>
        <w:t>给</w:t>
      </w:r>
      <w:r>
        <w:rPr>
          <w:rFonts w:ascii="宋体" w:hAnsi="宋体" w:eastAsia="宋体"/>
          <w:sz w:val="28"/>
          <w:szCs w:val="28"/>
        </w:rPr>
        <w:t>各位课程思政领航</w:t>
      </w:r>
      <w:r>
        <w:rPr>
          <w:rFonts w:hint="eastAsia" w:ascii="宋体" w:hAnsi="宋体" w:eastAsia="宋体"/>
          <w:sz w:val="28"/>
          <w:szCs w:val="28"/>
        </w:rPr>
        <w:t>学院</w:t>
      </w:r>
      <w:r>
        <w:rPr>
          <w:rFonts w:ascii="宋体" w:hAnsi="宋体" w:eastAsia="宋体"/>
          <w:sz w:val="28"/>
          <w:szCs w:val="28"/>
        </w:rPr>
        <w:t>、领航团队、领航课程的负责人以及骨干教师们</w:t>
      </w:r>
      <w:r>
        <w:rPr>
          <w:rFonts w:hint="eastAsia" w:ascii="宋体" w:hAnsi="宋体" w:eastAsia="宋体"/>
          <w:sz w:val="28"/>
          <w:szCs w:val="28"/>
        </w:rPr>
        <w:t>提几点要求：</w:t>
      </w:r>
    </w:p>
    <w:p>
      <w:pPr>
        <w:spacing w:line="360" w:lineRule="auto"/>
        <w:ind w:firstLine="546" w:firstLineChars="195"/>
        <w:rPr>
          <w:rFonts w:ascii="宋体" w:hAnsi="宋体" w:eastAsia="宋体"/>
          <w:sz w:val="28"/>
          <w:szCs w:val="28"/>
        </w:rPr>
      </w:pPr>
      <w:r>
        <w:rPr>
          <w:rFonts w:hint="eastAsia" w:ascii="宋体" w:hAnsi="宋体" w:eastAsia="宋体"/>
          <w:bCs/>
          <w:sz w:val="28"/>
          <w:szCs w:val="28"/>
        </w:rPr>
        <w:t>一是要高度重视培训工作。</w:t>
      </w:r>
      <w:r>
        <w:rPr>
          <w:rFonts w:hint="eastAsia" w:ascii="宋体" w:hAnsi="宋体" w:eastAsia="宋体"/>
          <w:sz w:val="28"/>
          <w:szCs w:val="28"/>
        </w:rPr>
        <w:t>本次培训是以学校集训、学院研学、个人自学相结合的方式开展，教师工作部和教务处要通力协作做好学校层面的集中培训工作，各二级学院要结合学科和专业特点认真做好学院研学方案并组织实施好，</w:t>
      </w:r>
      <w:r>
        <w:rPr>
          <w:rFonts w:ascii="宋体" w:hAnsi="宋体" w:eastAsia="宋体"/>
          <w:sz w:val="28"/>
          <w:szCs w:val="28"/>
        </w:rPr>
        <w:t>领航</w:t>
      </w:r>
      <w:r>
        <w:rPr>
          <w:rFonts w:hint="eastAsia" w:ascii="宋体" w:hAnsi="宋体" w:eastAsia="宋体"/>
          <w:sz w:val="28"/>
          <w:szCs w:val="28"/>
        </w:rPr>
        <w:t>学院</w:t>
      </w:r>
      <w:r>
        <w:rPr>
          <w:rFonts w:ascii="宋体" w:hAnsi="宋体" w:eastAsia="宋体"/>
          <w:sz w:val="28"/>
          <w:szCs w:val="28"/>
        </w:rPr>
        <w:t>、领航团队、领航课程的负责人以及骨干教师们</w:t>
      </w:r>
      <w:r>
        <w:rPr>
          <w:rFonts w:hint="eastAsia" w:ascii="宋体" w:hAnsi="宋体" w:eastAsia="宋体"/>
          <w:sz w:val="28"/>
          <w:szCs w:val="28"/>
        </w:rPr>
        <w:t>要投入足够的时间和精力，积极参加培训活动，从学习中思考和领悟课程思政的重力点，找准育人角度，提升育人能力。</w:t>
      </w:r>
    </w:p>
    <w:p>
      <w:pPr>
        <w:spacing w:line="360" w:lineRule="auto"/>
        <w:ind w:firstLine="548" w:firstLineChars="196"/>
        <w:rPr>
          <w:rFonts w:ascii="宋体" w:hAnsi="宋体" w:eastAsia="宋体"/>
          <w:sz w:val="28"/>
          <w:szCs w:val="28"/>
        </w:rPr>
      </w:pPr>
      <w:r>
        <w:rPr>
          <w:rFonts w:hint="eastAsia" w:ascii="宋体" w:hAnsi="宋体" w:eastAsia="宋体"/>
          <w:bCs/>
          <w:sz w:val="28"/>
          <w:szCs w:val="28"/>
        </w:rPr>
        <w:t>二是要明确课程思政建设目标要求和重点内容。</w:t>
      </w:r>
      <w:r>
        <w:rPr>
          <w:rFonts w:hint="eastAsia" w:ascii="宋体" w:hAnsi="宋体" w:eastAsia="宋体"/>
          <w:sz w:val="28"/>
          <w:szCs w:val="28"/>
        </w:rPr>
        <w:t>课程思政建设工作要围绕全面提高人才培养能力这个核心点，在所有学科专业全面推进、协同推进课程思政建设的体制机制，进一步提高立德树人成效。课程思政建设内容要紧紧围绕坚定学生理想信念，以爱党、爱国、爱社会主义、爱人民、爱集体为主线，围绕政治认同、家国情怀、文化素养、宪法法治意识、道德修养等重点优化课程思政内容，系统进行中国特色社会主义和中国梦教育、社会主义核心价值观教育、法治教育、劳动教育、心理健康教育、中华优秀传统文化教育。</w:t>
      </w:r>
    </w:p>
    <w:p>
      <w:pPr>
        <w:spacing w:line="360" w:lineRule="auto"/>
        <w:ind w:firstLine="686" w:firstLineChars="245"/>
        <w:rPr>
          <w:rFonts w:ascii="宋体" w:hAnsi="宋体" w:eastAsia="宋体"/>
          <w:sz w:val="28"/>
          <w:szCs w:val="28"/>
        </w:rPr>
      </w:pPr>
      <w:r>
        <w:rPr>
          <w:rFonts w:hint="eastAsia" w:ascii="宋体" w:hAnsi="宋体" w:eastAsia="宋体"/>
          <w:bCs/>
          <w:sz w:val="28"/>
          <w:szCs w:val="28"/>
        </w:rPr>
        <w:t>三是要科学设计课程思政体系，结合专业特点分类推进课程思政建设。</w:t>
      </w:r>
      <w:r>
        <w:rPr>
          <w:rFonts w:hint="eastAsia" w:ascii="宋体" w:hAnsi="宋体" w:eastAsia="宋体"/>
          <w:sz w:val="28"/>
          <w:szCs w:val="28"/>
        </w:rPr>
        <w:t>各专业要在人才培养方案修订中，结合课程思政的逻辑路线，构建科学合理的课程思政教学体系。要坚持学生中心、产出导向、持续改进，不断提升学生的课程学习体验和学习效果。专业课程是课程思政建设的基本载体，要深入梳理专业课教学内容，结合不同课程特点、思维方法和价值理念，深入挖掘课程思政元素，有机融入课程教学，达到润物无声的育人效果。例如理学类专业课程，要注重科学思维方法的训练和科学伦理的教育，培养学生探索未知、追求真理、勇攀科学高峰的责任感和使命感。工学类专业课程，要注重强化学生工程伦理教育，培养学生精益求精的大国工匠精神，激发学生科技报国的家国情怀和使命担当。</w:t>
      </w:r>
    </w:p>
    <w:p>
      <w:pPr>
        <w:spacing w:line="360" w:lineRule="auto"/>
        <w:ind w:firstLine="548" w:firstLineChars="196"/>
        <w:rPr>
          <w:rFonts w:ascii="宋体" w:hAnsi="宋体" w:eastAsia="宋体"/>
          <w:sz w:val="28"/>
          <w:szCs w:val="28"/>
        </w:rPr>
      </w:pPr>
      <w:r>
        <w:rPr>
          <w:rFonts w:hint="eastAsia" w:ascii="宋体" w:hAnsi="宋体" w:eastAsia="宋体"/>
          <w:bCs/>
          <w:sz w:val="28"/>
          <w:szCs w:val="28"/>
        </w:rPr>
        <w:t>四是要将课程思政融入课堂教学建设全过程。</w:t>
      </w:r>
      <w:r>
        <w:rPr>
          <w:rFonts w:hint="eastAsia" w:ascii="宋体" w:hAnsi="宋体" w:eastAsia="宋体"/>
          <w:sz w:val="28"/>
          <w:szCs w:val="28"/>
        </w:rPr>
        <w:t>课程思政要融入课堂教学建设，落实到课程目标设计、教学大纲修订、教材编审选用、教案课件编写各方面，贯穿于课堂授课、教学研讨、实验实训、作业论文各环节。要充分发挥教研室、教学团队、课程组等基层教学组织作用，建立课程思政集体教研制度，鼓励支持思政课教师与专业课教师合作教学教研，确保思想政治教育贯穿教育教学全过程，确保把握课程思政所蕴含的内在价值，确保专业课程教学实现价值引领、知识传授和能力提升的“三位一体”，努力培养具有理想信念、家国情怀、过硬本领、社会责任的高素质应用创新型人才。</w:t>
      </w:r>
    </w:p>
    <w:p>
      <w:pPr>
        <w:spacing w:line="360" w:lineRule="auto"/>
        <w:ind w:firstLine="560" w:firstLineChars="200"/>
        <w:rPr>
          <w:rFonts w:ascii="宋体" w:hAnsi="宋体" w:eastAsia="宋体"/>
          <w:sz w:val="28"/>
          <w:szCs w:val="28"/>
        </w:rPr>
      </w:pPr>
      <w:r>
        <w:rPr>
          <w:rFonts w:hint="eastAsia" w:ascii="宋体" w:hAnsi="宋体" w:eastAsia="宋体"/>
          <w:sz w:val="28"/>
          <w:szCs w:val="28"/>
        </w:rPr>
        <w:t>各位</w:t>
      </w:r>
      <w:r>
        <w:rPr>
          <w:rFonts w:ascii="宋体" w:hAnsi="宋体" w:eastAsia="宋体"/>
          <w:sz w:val="28"/>
          <w:szCs w:val="28"/>
        </w:rPr>
        <w:t>老师，</w:t>
      </w:r>
      <w:r>
        <w:rPr>
          <w:rFonts w:hint="eastAsia" w:ascii="宋体" w:hAnsi="宋体" w:eastAsia="宋体"/>
          <w:sz w:val="28"/>
          <w:szCs w:val="28"/>
        </w:rPr>
        <w:t>在</w:t>
      </w:r>
      <w:r>
        <w:rPr>
          <w:rFonts w:ascii="宋体" w:hAnsi="宋体" w:eastAsia="宋体"/>
          <w:sz w:val="28"/>
          <w:szCs w:val="28"/>
        </w:rPr>
        <w:t>上</w:t>
      </w:r>
      <w:r>
        <w:rPr>
          <w:rFonts w:hint="eastAsia" w:ascii="宋体" w:hAnsi="宋体" w:eastAsia="宋体"/>
          <w:sz w:val="28"/>
          <w:szCs w:val="28"/>
        </w:rPr>
        <w:t>个</w:t>
      </w:r>
      <w:r>
        <w:rPr>
          <w:rFonts w:ascii="宋体" w:hAnsi="宋体" w:eastAsia="宋体"/>
          <w:sz w:val="28"/>
          <w:szCs w:val="28"/>
        </w:rPr>
        <w:t>周末</w:t>
      </w:r>
      <w:r>
        <w:rPr>
          <w:rFonts w:hint="eastAsia" w:ascii="宋体" w:hAnsi="宋体" w:eastAsia="宋体"/>
          <w:sz w:val="28"/>
          <w:szCs w:val="28"/>
        </w:rPr>
        <w:t>举行</w:t>
      </w:r>
      <w:r>
        <w:rPr>
          <w:rFonts w:ascii="宋体" w:hAnsi="宋体" w:eastAsia="宋体"/>
          <w:sz w:val="28"/>
          <w:szCs w:val="28"/>
        </w:rPr>
        <w:t>的上海市第四届青教赛</w:t>
      </w:r>
      <w:r>
        <w:rPr>
          <w:rFonts w:hint="eastAsia" w:ascii="宋体" w:hAnsi="宋体" w:eastAsia="宋体"/>
          <w:sz w:val="28"/>
          <w:szCs w:val="28"/>
        </w:rPr>
        <w:t>中</w:t>
      </w:r>
      <w:r>
        <w:rPr>
          <w:rFonts w:ascii="宋体" w:hAnsi="宋体" w:eastAsia="宋体"/>
          <w:sz w:val="28"/>
          <w:szCs w:val="28"/>
        </w:rPr>
        <w:t>，我应邀担任决赛评委。</w:t>
      </w:r>
      <w:r>
        <w:rPr>
          <w:rFonts w:hint="eastAsia" w:ascii="宋体" w:hAnsi="宋体" w:eastAsia="宋体"/>
          <w:sz w:val="28"/>
          <w:szCs w:val="28"/>
        </w:rPr>
        <w:t>目睹</w:t>
      </w:r>
      <w:r>
        <w:rPr>
          <w:rFonts w:ascii="宋体" w:hAnsi="宋体" w:eastAsia="宋体"/>
          <w:sz w:val="28"/>
          <w:szCs w:val="28"/>
        </w:rPr>
        <w:t>各校优秀</w:t>
      </w:r>
      <w:r>
        <w:rPr>
          <w:rFonts w:hint="eastAsia" w:ascii="宋体" w:hAnsi="宋体" w:eastAsia="宋体"/>
          <w:sz w:val="28"/>
          <w:szCs w:val="28"/>
        </w:rPr>
        <w:t>青年教师</w:t>
      </w:r>
      <w:r>
        <w:rPr>
          <w:rFonts w:ascii="宋体" w:hAnsi="宋体" w:eastAsia="宋体"/>
          <w:sz w:val="28"/>
          <w:szCs w:val="28"/>
        </w:rPr>
        <w:t>的</w:t>
      </w:r>
      <w:r>
        <w:rPr>
          <w:rFonts w:hint="eastAsia" w:ascii="宋体" w:hAnsi="宋体" w:eastAsia="宋体"/>
          <w:sz w:val="28"/>
          <w:szCs w:val="28"/>
        </w:rPr>
        <w:t>精彩竞技</w:t>
      </w:r>
      <w:r>
        <w:rPr>
          <w:rFonts w:ascii="宋体" w:hAnsi="宋体" w:eastAsia="宋体"/>
          <w:sz w:val="28"/>
          <w:szCs w:val="28"/>
        </w:rPr>
        <w:t>，我更加</w:t>
      </w:r>
      <w:r>
        <w:rPr>
          <w:rFonts w:hint="eastAsia" w:ascii="宋体" w:hAnsi="宋体" w:eastAsia="宋体"/>
          <w:sz w:val="28"/>
          <w:szCs w:val="28"/>
        </w:rPr>
        <w:t>深刻地</w:t>
      </w:r>
      <w:r>
        <w:rPr>
          <w:rFonts w:ascii="宋体" w:hAnsi="宋体" w:eastAsia="宋体"/>
          <w:sz w:val="28"/>
          <w:szCs w:val="28"/>
        </w:rPr>
        <w:t>体会到课程思政在</w:t>
      </w:r>
      <w:r>
        <w:rPr>
          <w:rFonts w:hint="eastAsia" w:ascii="宋体" w:hAnsi="宋体" w:eastAsia="宋体"/>
          <w:sz w:val="28"/>
          <w:szCs w:val="28"/>
        </w:rPr>
        <w:t>赋能</w:t>
      </w:r>
      <w:r>
        <w:rPr>
          <w:rFonts w:ascii="宋体" w:hAnsi="宋体" w:eastAsia="宋体"/>
          <w:sz w:val="28"/>
          <w:szCs w:val="28"/>
        </w:rPr>
        <w:t>“</w:t>
      </w:r>
      <w:r>
        <w:rPr>
          <w:rFonts w:hint="eastAsia" w:ascii="宋体" w:hAnsi="宋体" w:eastAsia="宋体"/>
          <w:sz w:val="28"/>
          <w:szCs w:val="28"/>
        </w:rPr>
        <w:t>金课</w:t>
      </w:r>
      <w:r>
        <w:rPr>
          <w:rFonts w:ascii="宋体" w:hAnsi="宋体" w:eastAsia="宋体"/>
          <w:sz w:val="28"/>
          <w:szCs w:val="28"/>
        </w:rPr>
        <w:t>”</w:t>
      </w:r>
      <w:r>
        <w:rPr>
          <w:rFonts w:hint="eastAsia" w:ascii="宋体" w:hAnsi="宋体" w:eastAsia="宋体"/>
          <w:sz w:val="28"/>
          <w:szCs w:val="28"/>
        </w:rPr>
        <w:t>建设，</w:t>
      </w:r>
      <w:r>
        <w:rPr>
          <w:rFonts w:ascii="宋体" w:hAnsi="宋体" w:eastAsia="宋体"/>
          <w:sz w:val="28"/>
          <w:szCs w:val="28"/>
        </w:rPr>
        <w:t>提升课程的高阶性、创新性和挑战度中的重要作用。真正</w:t>
      </w:r>
      <w:r>
        <w:rPr>
          <w:rFonts w:hint="eastAsia" w:ascii="宋体" w:hAnsi="宋体" w:eastAsia="宋体"/>
          <w:sz w:val="28"/>
          <w:szCs w:val="28"/>
        </w:rPr>
        <w:t>理解</w:t>
      </w:r>
      <w:r>
        <w:rPr>
          <w:rFonts w:ascii="宋体" w:hAnsi="宋体" w:eastAsia="宋体"/>
          <w:sz w:val="28"/>
          <w:szCs w:val="28"/>
        </w:rPr>
        <w:t>了课程思政，</w:t>
      </w:r>
      <w:r>
        <w:rPr>
          <w:rFonts w:hint="eastAsia" w:ascii="宋体" w:hAnsi="宋体" w:eastAsia="宋体"/>
          <w:sz w:val="28"/>
          <w:szCs w:val="28"/>
        </w:rPr>
        <w:t>就真正</w:t>
      </w:r>
      <w:r>
        <w:rPr>
          <w:rFonts w:ascii="宋体" w:hAnsi="宋体" w:eastAsia="宋体"/>
          <w:sz w:val="28"/>
          <w:szCs w:val="28"/>
        </w:rPr>
        <w:t>掌握了“金课”</w:t>
      </w:r>
      <w:r>
        <w:rPr>
          <w:rFonts w:hint="eastAsia" w:ascii="宋体" w:hAnsi="宋体" w:eastAsia="宋体"/>
          <w:sz w:val="28"/>
          <w:szCs w:val="28"/>
        </w:rPr>
        <w:t>建设的</w:t>
      </w:r>
      <w:r>
        <w:rPr>
          <w:rFonts w:ascii="宋体" w:hAnsi="宋体" w:eastAsia="宋体"/>
          <w:sz w:val="28"/>
          <w:szCs w:val="28"/>
        </w:rPr>
        <w:t>价值观</w:t>
      </w:r>
      <w:r>
        <w:rPr>
          <w:rFonts w:hint="eastAsia" w:ascii="宋体" w:hAnsi="宋体" w:eastAsia="宋体"/>
          <w:sz w:val="28"/>
          <w:szCs w:val="28"/>
        </w:rPr>
        <w:t>、</w:t>
      </w:r>
      <w:r>
        <w:rPr>
          <w:rFonts w:ascii="宋体" w:hAnsi="宋体" w:eastAsia="宋体"/>
          <w:sz w:val="28"/>
          <w:szCs w:val="28"/>
        </w:rPr>
        <w:t>方法论</w:t>
      </w:r>
      <w:r>
        <w:rPr>
          <w:rFonts w:hint="eastAsia" w:ascii="宋体" w:hAnsi="宋体" w:eastAsia="宋体"/>
          <w:sz w:val="28"/>
          <w:szCs w:val="28"/>
        </w:rPr>
        <w:t>和</w:t>
      </w:r>
      <w:r>
        <w:rPr>
          <w:rFonts w:ascii="宋体" w:hAnsi="宋体" w:eastAsia="宋体"/>
          <w:sz w:val="28"/>
          <w:szCs w:val="28"/>
        </w:rPr>
        <w:t>执行力。</w:t>
      </w:r>
    </w:p>
    <w:p>
      <w:pPr>
        <w:spacing w:line="360" w:lineRule="auto"/>
        <w:ind w:firstLine="560" w:firstLineChars="200"/>
        <w:rPr>
          <w:rFonts w:ascii="宋体" w:hAnsi="宋体" w:eastAsia="宋体"/>
          <w:sz w:val="28"/>
          <w:szCs w:val="28"/>
        </w:rPr>
      </w:pPr>
      <w:r>
        <w:rPr>
          <w:rFonts w:ascii="宋体" w:hAnsi="宋体" w:eastAsia="宋体"/>
          <w:sz w:val="28"/>
          <w:szCs w:val="28"/>
        </w:rPr>
        <w:t>今天</w:t>
      </w:r>
      <w:r>
        <w:rPr>
          <w:rFonts w:hint="eastAsia" w:ascii="宋体" w:hAnsi="宋体" w:eastAsia="宋体"/>
          <w:sz w:val="28"/>
          <w:szCs w:val="28"/>
        </w:rPr>
        <w:t>在这里隆重举行培训班的开班仪式及首场报告</w:t>
      </w:r>
      <w:r>
        <w:rPr>
          <w:rFonts w:ascii="宋体" w:hAnsi="宋体" w:eastAsia="宋体"/>
          <w:sz w:val="28"/>
          <w:szCs w:val="28"/>
        </w:rPr>
        <w:t>，借这个机会，我来给大家做动员报告</w:t>
      </w:r>
      <w:r>
        <w:rPr>
          <w:rFonts w:hint="eastAsia" w:ascii="宋体" w:hAnsi="宋体" w:eastAsia="宋体"/>
          <w:sz w:val="28"/>
          <w:szCs w:val="28"/>
        </w:rPr>
        <w:t>为大家加油鼓劲</w:t>
      </w:r>
      <w:r>
        <w:rPr>
          <w:rFonts w:ascii="宋体" w:hAnsi="宋体" w:eastAsia="宋体"/>
          <w:sz w:val="28"/>
          <w:szCs w:val="28"/>
        </w:rPr>
        <w:t>。</w:t>
      </w:r>
      <w:r>
        <w:rPr>
          <w:rFonts w:hint="eastAsia" w:ascii="宋体" w:hAnsi="宋体" w:eastAsia="宋体"/>
          <w:sz w:val="28"/>
          <w:szCs w:val="28"/>
        </w:rPr>
        <w:t>希望各学院课程思政指导委员会给各学院的集体研学提供强有力的支持与保障！</w:t>
      </w:r>
      <w:r>
        <w:rPr>
          <w:rFonts w:ascii="宋体" w:hAnsi="宋体" w:eastAsia="宋体"/>
          <w:sz w:val="28"/>
          <w:szCs w:val="28"/>
        </w:rPr>
        <w:t>希望</w:t>
      </w:r>
      <w:r>
        <w:rPr>
          <w:rFonts w:hint="eastAsia" w:ascii="宋体" w:hAnsi="宋体" w:eastAsia="宋体"/>
          <w:sz w:val="28"/>
          <w:szCs w:val="28"/>
        </w:rPr>
        <w:t>各位负责人和老师们结合</w:t>
      </w:r>
      <w:r>
        <w:rPr>
          <w:rFonts w:ascii="宋体" w:hAnsi="宋体" w:eastAsia="宋体"/>
          <w:sz w:val="28"/>
          <w:szCs w:val="28"/>
        </w:rPr>
        <w:t>各自的学科</w:t>
      </w:r>
      <w:r>
        <w:rPr>
          <w:rFonts w:hint="eastAsia" w:ascii="宋体" w:hAnsi="宋体" w:eastAsia="宋体"/>
          <w:sz w:val="28"/>
          <w:szCs w:val="28"/>
        </w:rPr>
        <w:t>、专业和课程</w:t>
      </w:r>
      <w:r>
        <w:rPr>
          <w:rFonts w:ascii="宋体" w:hAnsi="宋体" w:eastAsia="宋体"/>
          <w:sz w:val="28"/>
          <w:szCs w:val="28"/>
        </w:rPr>
        <w:t>特点，带着</w:t>
      </w:r>
      <w:r>
        <w:rPr>
          <w:rFonts w:hint="eastAsia" w:ascii="宋体" w:hAnsi="宋体" w:eastAsia="宋体"/>
          <w:sz w:val="28"/>
          <w:szCs w:val="28"/>
        </w:rPr>
        <w:t>具体</w:t>
      </w:r>
      <w:r>
        <w:rPr>
          <w:rFonts w:ascii="宋体" w:hAnsi="宋体" w:eastAsia="宋体"/>
          <w:sz w:val="28"/>
          <w:szCs w:val="28"/>
        </w:rPr>
        <w:t>的目标</w:t>
      </w:r>
      <w:r>
        <w:rPr>
          <w:rFonts w:hint="eastAsia" w:ascii="宋体" w:hAnsi="宋体" w:eastAsia="宋体"/>
          <w:sz w:val="28"/>
          <w:szCs w:val="28"/>
        </w:rPr>
        <w:t>、</w:t>
      </w:r>
      <w:r>
        <w:rPr>
          <w:rFonts w:ascii="宋体" w:hAnsi="宋体" w:eastAsia="宋体"/>
          <w:sz w:val="28"/>
          <w:szCs w:val="28"/>
        </w:rPr>
        <w:t>任务和问题</w:t>
      </w:r>
      <w:r>
        <w:rPr>
          <w:rFonts w:hint="eastAsia" w:ascii="宋体" w:hAnsi="宋体" w:eastAsia="宋体"/>
          <w:sz w:val="28"/>
          <w:szCs w:val="28"/>
        </w:rPr>
        <w:t>积极</w:t>
      </w:r>
      <w:r>
        <w:rPr>
          <w:rFonts w:ascii="宋体" w:hAnsi="宋体" w:eastAsia="宋体"/>
          <w:sz w:val="28"/>
          <w:szCs w:val="28"/>
        </w:rPr>
        <w:t>参加培训活动</w:t>
      </w:r>
      <w:r>
        <w:rPr>
          <w:rFonts w:hint="eastAsia" w:ascii="宋体" w:hAnsi="宋体" w:eastAsia="宋体"/>
          <w:sz w:val="28"/>
          <w:szCs w:val="28"/>
        </w:rPr>
        <w:t>！通过</w:t>
      </w:r>
      <w:r>
        <w:rPr>
          <w:rFonts w:ascii="宋体" w:hAnsi="宋体" w:eastAsia="宋体"/>
          <w:sz w:val="28"/>
          <w:szCs w:val="28"/>
        </w:rPr>
        <w:t>培训</w:t>
      </w:r>
      <w:r>
        <w:rPr>
          <w:rFonts w:hint="eastAsia" w:ascii="宋体" w:hAnsi="宋体" w:eastAsia="宋体"/>
          <w:sz w:val="28"/>
          <w:szCs w:val="28"/>
        </w:rPr>
        <w:t>，</w:t>
      </w:r>
      <w:r>
        <w:rPr>
          <w:rFonts w:ascii="宋体" w:hAnsi="宋体" w:eastAsia="宋体"/>
          <w:sz w:val="28"/>
          <w:szCs w:val="28"/>
        </w:rPr>
        <w:t>更好地</w:t>
      </w:r>
      <w:r>
        <w:rPr>
          <w:rFonts w:hint="eastAsia" w:ascii="宋体" w:hAnsi="宋体" w:eastAsia="宋体"/>
          <w:sz w:val="28"/>
          <w:szCs w:val="28"/>
        </w:rPr>
        <w:t>把</w:t>
      </w:r>
      <w:r>
        <w:rPr>
          <w:rFonts w:ascii="宋体" w:hAnsi="宋体" w:eastAsia="宋体"/>
          <w:sz w:val="28"/>
          <w:szCs w:val="28"/>
        </w:rPr>
        <w:t>思想和行动统一到学校课程思政各项部署和要求上来，落实到课程教学的各个环节之中，融入到</w:t>
      </w:r>
      <w:r>
        <w:rPr>
          <w:rFonts w:hint="eastAsia" w:ascii="宋体" w:hAnsi="宋体" w:eastAsia="宋体"/>
          <w:sz w:val="28"/>
          <w:szCs w:val="28"/>
        </w:rPr>
        <w:t>应用</w:t>
      </w:r>
      <w:r>
        <w:rPr>
          <w:rFonts w:ascii="宋体" w:hAnsi="宋体" w:eastAsia="宋体"/>
          <w:sz w:val="28"/>
          <w:szCs w:val="28"/>
        </w:rPr>
        <w:t>创新型人才培养的育人生态里面</w:t>
      </w:r>
      <w:r>
        <w:rPr>
          <w:rFonts w:hint="eastAsia" w:ascii="宋体" w:hAnsi="宋体" w:eastAsia="宋体"/>
          <w:sz w:val="28"/>
          <w:szCs w:val="28"/>
        </w:rPr>
        <w:t>，</w:t>
      </w:r>
      <w:r>
        <w:rPr>
          <w:rFonts w:ascii="宋体" w:hAnsi="宋体" w:eastAsia="宋体"/>
          <w:sz w:val="28"/>
          <w:szCs w:val="28"/>
        </w:rPr>
        <w:t>为学校</w:t>
      </w:r>
      <w:r>
        <w:rPr>
          <w:rFonts w:hint="eastAsia" w:ascii="宋体" w:hAnsi="宋体" w:eastAsia="宋体"/>
          <w:sz w:val="28"/>
          <w:szCs w:val="28"/>
        </w:rPr>
        <w:t>在</w:t>
      </w:r>
      <w:r>
        <w:rPr>
          <w:rFonts w:ascii="宋体" w:hAnsi="宋体" w:eastAsia="宋体"/>
          <w:sz w:val="28"/>
          <w:szCs w:val="28"/>
        </w:rPr>
        <w:t>新一轮发展中加快构建</w:t>
      </w:r>
      <w:r>
        <w:rPr>
          <w:rFonts w:hint="eastAsia" w:ascii="宋体" w:hAnsi="宋体" w:eastAsia="宋体"/>
          <w:sz w:val="28"/>
          <w:szCs w:val="28"/>
        </w:rPr>
        <w:t>目标明确、内容完善、标准健全、运行科学、保障有力、成效显著的思想政治工作体系做出</w:t>
      </w:r>
      <w:r>
        <w:rPr>
          <w:rFonts w:ascii="宋体" w:hAnsi="宋体" w:eastAsia="宋体"/>
          <w:sz w:val="28"/>
          <w:szCs w:val="28"/>
        </w:rPr>
        <w:t>自己的贡献！</w:t>
      </w:r>
    </w:p>
    <w:p>
      <w:pPr>
        <w:spacing w:line="360" w:lineRule="auto"/>
        <w:ind w:firstLine="560" w:firstLineChars="200"/>
        <w:rPr>
          <w:rFonts w:ascii="宋体" w:hAnsi="宋体" w:eastAsia="宋体"/>
          <w:b/>
          <w:sz w:val="28"/>
          <w:szCs w:val="28"/>
        </w:rPr>
      </w:pPr>
      <w:r>
        <w:rPr>
          <w:rFonts w:hint="eastAsia" w:ascii="宋体" w:hAnsi="宋体" w:eastAsia="宋体"/>
          <w:sz w:val="28"/>
          <w:szCs w:val="28"/>
        </w:rPr>
        <w:t>谢谢</w:t>
      </w:r>
      <w:r>
        <w:rPr>
          <w:rFonts w:ascii="宋体" w:hAnsi="宋体" w:eastAsia="宋体"/>
          <w:sz w:val="28"/>
          <w:szCs w:val="28"/>
        </w:rPr>
        <w:t>大家！</w:t>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pStyle w:val="2"/>
        <w:spacing w:before="0" w:after="0" w:line="360" w:lineRule="auto"/>
        <w:jc w:val="center"/>
        <w:rPr>
          <w:rFonts w:asciiTheme="minorEastAsia" w:hAnsiTheme="minorEastAsia"/>
          <w:sz w:val="30"/>
          <w:szCs w:val="30"/>
        </w:rPr>
      </w:pPr>
      <w:bookmarkStart w:id="4" w:name="_Toc131671169"/>
      <w:r>
        <w:rPr>
          <w:rFonts w:asciiTheme="minorEastAsia" w:hAnsiTheme="minorEastAsia"/>
          <w:sz w:val="30"/>
          <w:szCs w:val="30"/>
        </w:rPr>
        <w:t>【光明网】柯勤飞：让“三个抓住”成为全面推进课程思政的锁钥</w:t>
      </w:r>
      <w:bookmarkEnd w:id="4"/>
    </w:p>
    <w:p>
      <w:pPr>
        <w:adjustRightInd w:val="0"/>
        <w:snapToGrid w:val="0"/>
        <w:spacing w:line="360" w:lineRule="auto"/>
        <w:rPr>
          <w:rFonts w:ascii="宋体" w:hAnsi="宋体" w:eastAsia="宋体" w:cstheme="minorEastAsia"/>
          <w:color w:val="000000"/>
          <w:kern w:val="0"/>
          <w:sz w:val="28"/>
          <w:szCs w:val="28"/>
        </w:rPr>
      </w:pPr>
    </w:p>
    <w:p>
      <w:pPr>
        <w:adjustRightInd w:val="0"/>
        <w:snapToGrid w:val="0"/>
        <w:spacing w:line="360" w:lineRule="auto"/>
        <w:ind w:firstLine="560" w:firstLineChars="200"/>
        <w:rPr>
          <w:rFonts w:ascii="宋体" w:hAnsi="宋体" w:eastAsia="宋体" w:cstheme="minorEastAsia"/>
          <w:color w:val="000000"/>
          <w:kern w:val="0"/>
          <w:sz w:val="28"/>
          <w:szCs w:val="28"/>
        </w:rPr>
      </w:pPr>
      <w:r>
        <w:rPr>
          <w:rFonts w:ascii="宋体" w:hAnsi="宋体" w:eastAsia="宋体" w:cstheme="minorEastAsia"/>
          <w:color w:val="000000"/>
          <w:kern w:val="0"/>
          <w:sz w:val="28"/>
          <w:szCs w:val="28"/>
        </w:rPr>
        <w:t>以习近平同志为核心的党中央高度重视教育工作，始终把教育摆在优先发展的战略地位，特别是“十三五”时期，开启了加快教育现代化、建设教育强国的历史新征程。党的十九届五中全会站在时代的新高度，明确了“建设高质量教育体系”的政策导向和重点要求，面对这个新时代教育发展的新主题、新方向、新目标、新任务，需要进一步把立德树人根本任务内化到教学和管理的各个领域和环节，全面推进课程思政建设，特别是要紧紧抓住教师队伍“主力军”、课程建设“主战场”和课堂教学“主渠道”，为建设高质量教育体系增强动力。</w:t>
      </w:r>
    </w:p>
    <w:p>
      <w:pPr>
        <w:pStyle w:val="10"/>
        <w:adjustRightInd w:val="0"/>
        <w:snapToGrid w:val="0"/>
        <w:spacing w:before="0" w:beforeAutospacing="0" w:after="0" w:afterAutospacing="0" w:line="360" w:lineRule="auto"/>
        <w:ind w:firstLine="562" w:firstLineChars="200"/>
        <w:rPr>
          <w:b/>
          <w:sz w:val="28"/>
          <w:szCs w:val="28"/>
        </w:rPr>
      </w:pPr>
      <w:r>
        <w:rPr>
          <w:b/>
          <w:sz w:val="28"/>
          <w:szCs w:val="28"/>
        </w:rPr>
        <w:t>一、抓住教师队伍“主力军”，需要精准把握方法与手段的区别与联系</w:t>
      </w:r>
    </w:p>
    <w:p>
      <w:pPr>
        <w:adjustRightInd w:val="0"/>
        <w:snapToGrid w:val="0"/>
        <w:spacing w:line="360" w:lineRule="auto"/>
        <w:ind w:firstLine="560" w:firstLineChars="200"/>
        <w:rPr>
          <w:rFonts w:ascii="宋体" w:hAnsi="宋体" w:eastAsia="宋体" w:cstheme="minorEastAsia"/>
          <w:color w:val="000000"/>
          <w:kern w:val="0"/>
          <w:sz w:val="28"/>
          <w:szCs w:val="28"/>
        </w:rPr>
      </w:pPr>
      <w:r>
        <w:rPr>
          <w:rFonts w:ascii="宋体" w:hAnsi="宋体" w:eastAsia="宋体" w:cstheme="minorEastAsia"/>
          <w:color w:val="000000"/>
          <w:kern w:val="0"/>
          <w:sz w:val="28"/>
          <w:szCs w:val="28"/>
        </w:rPr>
        <w:t>从哲学上来说，方法是人类认识客观世界和改造客观世界应遵循的某种方式、途径与程序的总和，而手段则是技巧或举措。课程思政既不是思政课，也不是在课程中简单地寻找思政元素，而是一种课程观。它既是方法论，也是一种手段，也就是说，课程思政是要引导教师能够自觉地以马克思主义哲学方法论指导自己的教育教学实践活动，指导具体的课程中内含思政元素有机融入目标的设计，做到水乳交融、浑然一体，春风化雨、润物无声，而不是在课程中硬植入马克思主义理论、思政元素，简单贴上标签。因此，不能仅仅把课程思政当作一种手段，单纯地在课程中挖掘思政元素，而忽略了课程思政的方法论意义，这样的思政元素挖掘必然是无源之水、无本之木，成为空中楼阁，要么“不及”要么“过犹不及”，成为推进课程思政的痛点和难点。</w:t>
      </w:r>
    </w:p>
    <w:p>
      <w:pPr>
        <w:adjustRightInd w:val="0"/>
        <w:snapToGrid w:val="0"/>
        <w:spacing w:line="360" w:lineRule="auto"/>
        <w:ind w:firstLine="560" w:firstLineChars="200"/>
        <w:rPr>
          <w:rFonts w:ascii="宋体" w:hAnsi="宋体" w:eastAsia="宋体" w:cstheme="minorEastAsia"/>
          <w:color w:val="000000"/>
          <w:kern w:val="0"/>
          <w:sz w:val="28"/>
          <w:szCs w:val="28"/>
        </w:rPr>
      </w:pPr>
      <w:r>
        <w:rPr>
          <w:rFonts w:ascii="宋体" w:hAnsi="宋体" w:eastAsia="宋体" w:cstheme="minorEastAsia"/>
          <w:color w:val="000000"/>
          <w:kern w:val="0"/>
          <w:sz w:val="28"/>
          <w:szCs w:val="28"/>
        </w:rPr>
        <w:t>课程思政的灵魂是教师，教师是课程思政教育教学改革的直接实践者和推动者，好的老师在做课程思政时不是“硬植入”，而是要积极运用好马克思主义哲学方法论，开展“融学术、技术、艺术、话术于一体”的创造性工作，发挥好每门课程的育人作用，用理性的光辉温暖学生的心灵，用逻辑的力量引领学生前行，形成百花齐放的课程思政育人大格局。作为10 所“上海高校课程思政整体改革领航高校”之一，上海应用技术大学在全面增强教师育德意识基础上，更加重视育德能力的提升，充分注重发挥马克思主义理论学科的引领作用，为“课程思政”提供深厚的学术支撑，邀请校内外专家并组织示范马院教师走进全校各学院，做其它专业授课教师的“指导员”，通过与专业课程教师共同“研学”，让马克思主义理论的指导成为推进课程思政的“源头活水”。</w:t>
      </w:r>
    </w:p>
    <w:p>
      <w:pPr>
        <w:pStyle w:val="10"/>
        <w:adjustRightInd w:val="0"/>
        <w:snapToGrid w:val="0"/>
        <w:spacing w:before="0" w:beforeAutospacing="0" w:after="0" w:afterAutospacing="0" w:line="360" w:lineRule="auto"/>
        <w:ind w:firstLine="562" w:firstLineChars="200"/>
        <w:rPr>
          <w:b/>
          <w:sz w:val="28"/>
          <w:szCs w:val="28"/>
        </w:rPr>
      </w:pPr>
      <w:r>
        <w:rPr>
          <w:b/>
          <w:sz w:val="28"/>
          <w:szCs w:val="28"/>
        </w:rPr>
        <w:t>二、抓住课程建设“主战场”，需要精准定位“课程思政”中的两个关键词</w:t>
      </w:r>
    </w:p>
    <w:p>
      <w:pPr>
        <w:adjustRightInd w:val="0"/>
        <w:snapToGrid w:val="0"/>
        <w:spacing w:line="360" w:lineRule="auto"/>
        <w:ind w:firstLine="560" w:firstLineChars="200"/>
        <w:rPr>
          <w:rFonts w:ascii="宋体" w:hAnsi="宋体" w:eastAsia="宋体" w:cstheme="minorEastAsia"/>
          <w:color w:val="000000"/>
          <w:kern w:val="0"/>
          <w:sz w:val="28"/>
          <w:szCs w:val="28"/>
        </w:rPr>
      </w:pPr>
      <w:r>
        <w:rPr>
          <w:rFonts w:ascii="宋体" w:hAnsi="宋体" w:eastAsia="宋体" w:cstheme="minorEastAsia"/>
          <w:color w:val="000000"/>
          <w:kern w:val="0"/>
          <w:sz w:val="28"/>
          <w:szCs w:val="28"/>
        </w:rPr>
        <w:t>“课程思政”中，“课程”是基础、是载体，“思政”是方向，两者融通，相得益彰，这样的辩证关系需要准确认识。课程思政建设需要更加彰显课程的专业特点，只有课程这个载体和基础建设好了，课程思政才有施展之地。好的课程建设一定是尊重课程建设规律，科学设计课程思政体系，分类推进课程思政建设，在保证专业课程的含金量与穿透力基础上，才能发挥好育人作用，让课程中的“思政”隐性育人功能得以有效实现。</w:t>
      </w:r>
    </w:p>
    <w:p>
      <w:pPr>
        <w:adjustRightInd w:val="0"/>
        <w:snapToGrid w:val="0"/>
        <w:spacing w:line="360" w:lineRule="auto"/>
        <w:rPr>
          <w:rFonts w:ascii="宋体" w:hAnsi="宋体" w:eastAsia="宋体" w:cstheme="minorEastAsia"/>
          <w:color w:val="000000"/>
          <w:kern w:val="0"/>
          <w:sz w:val="28"/>
          <w:szCs w:val="28"/>
        </w:rPr>
      </w:pPr>
      <w:r>
        <w:rPr>
          <w:rFonts w:ascii="宋体" w:hAnsi="宋体" w:eastAsia="宋体" w:cstheme="minorEastAsia"/>
          <w:color w:val="000000"/>
          <w:kern w:val="0"/>
          <w:sz w:val="28"/>
          <w:szCs w:val="28"/>
        </w:rPr>
        <w:t>在课程建设体系中需要增强“价值塑造、知识传授、能力培养”三位一体的教育教学理念，推进教育教学创新，做到“三问致新”，即“问课程特色融育人元素、问学科前沿变教学内容、问学生兴趣优教学方法”，各类课程要结合自身特色特点，按照自身推动课程思政的路径与目标，溶不同的盐，做不同的汤，最终达到课堂精彩、学生喝彩、效果出彩的“三维出彩”目标。各专业要在人才培养方案修订中，结合课程思政的逻辑路线，构建科学合理的课程思政教学体系。要坚持学生中心、产出导向、持续改进，不断提升学生的课程学习体验和学习效果。专业课程是课程思政建设的基本载体，要深入梳理专业课教学内容，结合不同课程特点、思维方法和价值理念，深入挖掘课程思政元素，有机融入课程教学。</w:t>
      </w:r>
    </w:p>
    <w:p>
      <w:pPr>
        <w:adjustRightInd w:val="0"/>
        <w:snapToGrid w:val="0"/>
        <w:spacing w:line="360" w:lineRule="auto"/>
        <w:ind w:firstLine="560" w:firstLineChars="200"/>
        <w:rPr>
          <w:rFonts w:ascii="宋体" w:hAnsi="宋体" w:eastAsia="宋体" w:cstheme="minorEastAsia"/>
          <w:color w:val="000000"/>
          <w:kern w:val="0"/>
          <w:sz w:val="28"/>
          <w:szCs w:val="28"/>
        </w:rPr>
      </w:pPr>
      <w:r>
        <w:rPr>
          <w:rFonts w:ascii="宋体" w:hAnsi="宋体" w:eastAsia="宋体" w:cstheme="minorEastAsia"/>
          <w:color w:val="000000"/>
          <w:kern w:val="0"/>
          <w:sz w:val="28"/>
          <w:szCs w:val="28"/>
        </w:rPr>
        <w:t>上海应用技术大学在推进课程思政建设中，围绕“厚德”“精技”两个关键，注重把课程思政建设与办学定位、专业特点、课程特质等紧密结合，科学放“盐”、艺术放“盐”，细化隐性思政，制定“应用创新型人才核心素养总体框架”，指导编制课程思政教学指南，探索推出师、时、史、势“4S 教学法”，成立沪上高校首个课程思政研究中心，聚焦立德树人根本任务，以研究项目带动师资培训、制度创新，开展课程思政荣誉课程、领航课程等一批精品示范课程建设，形成了具有应用创新型本科高校校本特色的课程思政理念和实践经验。</w:t>
      </w:r>
    </w:p>
    <w:p>
      <w:pPr>
        <w:pStyle w:val="10"/>
        <w:adjustRightInd w:val="0"/>
        <w:snapToGrid w:val="0"/>
        <w:spacing w:before="0" w:beforeAutospacing="0" w:after="0" w:afterAutospacing="0" w:line="360" w:lineRule="auto"/>
        <w:ind w:firstLine="562" w:firstLineChars="200"/>
        <w:rPr>
          <w:b/>
          <w:sz w:val="28"/>
          <w:szCs w:val="28"/>
        </w:rPr>
      </w:pPr>
      <w:r>
        <w:rPr>
          <w:b/>
          <w:sz w:val="28"/>
          <w:szCs w:val="28"/>
        </w:rPr>
        <w:t>三、抓住课堂教学“主渠道”，需要精准掌控思政元素范围</w:t>
      </w:r>
    </w:p>
    <w:p>
      <w:pPr>
        <w:adjustRightInd w:val="0"/>
        <w:snapToGrid w:val="0"/>
        <w:spacing w:line="360" w:lineRule="auto"/>
        <w:ind w:firstLine="560" w:firstLineChars="200"/>
        <w:rPr>
          <w:rFonts w:ascii="宋体" w:hAnsi="宋体" w:eastAsia="宋体" w:cstheme="minorEastAsia"/>
          <w:color w:val="000000"/>
          <w:kern w:val="0"/>
          <w:sz w:val="28"/>
          <w:szCs w:val="28"/>
        </w:rPr>
      </w:pPr>
      <w:r>
        <w:rPr>
          <w:rFonts w:ascii="宋体" w:hAnsi="宋体" w:eastAsia="宋体" w:cstheme="minorEastAsia"/>
          <w:color w:val="000000"/>
          <w:kern w:val="0"/>
          <w:sz w:val="28"/>
          <w:szCs w:val="28"/>
        </w:rPr>
        <w:t>课程思政的核心与关键是价值引领，课程思政建设需要教师凝练专业课程中鲜活的思政教育元素，并润物无声地在课程讲授中体现，贯穿到学校教育教学全过程。课程思政要融入课堂教学建设，抓好课堂教学管理，通过优化课程设置、修订专业教材、完善教学设计、加强教学管理等举措，落实到课程目标设计、教学大纲修订、教材编审选用、教案课件编写各方面，贯穿于课堂授课、教学研讨、实验实训、作业论文各环节。要充分发挥教研室、教学团队、课程组等基层教学组织作用，建立课程思政集体教研制度，鼓励支持思政课教师与专业课教师合作教学教研，确保思想政治教育贯穿教育教学全过程。</w:t>
      </w:r>
    </w:p>
    <w:p>
      <w:pPr>
        <w:adjustRightInd w:val="0"/>
        <w:snapToGrid w:val="0"/>
        <w:spacing w:line="360" w:lineRule="auto"/>
        <w:rPr>
          <w:rFonts w:ascii="宋体" w:hAnsi="宋体" w:eastAsia="宋体" w:cstheme="minorEastAsia"/>
          <w:color w:val="000000"/>
          <w:kern w:val="0"/>
          <w:sz w:val="28"/>
          <w:szCs w:val="28"/>
        </w:rPr>
      </w:pPr>
      <w:r>
        <w:rPr>
          <w:rFonts w:ascii="宋体" w:hAnsi="宋体" w:eastAsia="宋体" w:cstheme="minorEastAsia"/>
          <w:color w:val="000000"/>
          <w:kern w:val="0"/>
          <w:sz w:val="28"/>
          <w:szCs w:val="28"/>
        </w:rPr>
        <w:t>但满则溢、盈则亏，要突破课程中思政元素越多越好的片面理解误区，不能把专业课中的思政元素资源无限扩大，在课程中“过度”挖掘，把专业课上成思政课，而是需要适度把握，巧妙有机融入。更不能把知识传授与价值引领相割裂，要通过精雕细琢、不断打磨，精准把握“盐”量，让教书与育人浑然一体，保证专业课程“本”的不变，实现“质”的飞跃。</w:t>
      </w:r>
    </w:p>
    <w:p>
      <w:pPr>
        <w:adjustRightInd w:val="0"/>
        <w:snapToGrid w:val="0"/>
        <w:spacing w:line="360" w:lineRule="auto"/>
        <w:ind w:firstLine="420" w:firstLineChars="150"/>
        <w:rPr>
          <w:rFonts w:ascii="宋体" w:hAnsi="宋体" w:eastAsia="宋体" w:cstheme="minorEastAsia"/>
          <w:color w:val="000000"/>
          <w:kern w:val="0"/>
          <w:sz w:val="28"/>
          <w:szCs w:val="28"/>
        </w:rPr>
      </w:pPr>
      <w:r>
        <w:rPr>
          <w:rFonts w:ascii="宋体" w:hAnsi="宋体" w:eastAsia="宋体" w:cstheme="minorEastAsia"/>
          <w:color w:val="000000"/>
          <w:kern w:val="0"/>
          <w:sz w:val="28"/>
          <w:szCs w:val="28"/>
        </w:rPr>
        <w:t>“德者，本也。”课程思政是“建设高质量教育体系”的必然需求和保证。党的十九届五中全会提出到2035年建成文化强国、教育强国、人才强国、体育强国、健康中国，都与教育事业的创新发展紧密相关，需要把立德树人贯穿人才培养全过程，以价值塑造、知识传授和能力培养三者的课程思政建设成果，不断深化育人成效。</w:t>
      </w:r>
    </w:p>
    <w:p>
      <w:pPr>
        <w:adjustRightInd w:val="0"/>
        <w:snapToGrid w:val="0"/>
        <w:spacing w:line="360" w:lineRule="auto"/>
        <w:rPr>
          <w:rFonts w:ascii="宋体" w:hAnsi="宋体" w:eastAsia="宋体" w:cstheme="minorEastAsia"/>
          <w:b/>
          <w:bCs/>
          <w:color w:val="000000"/>
          <w:kern w:val="0"/>
          <w:sz w:val="28"/>
          <w:szCs w:val="28"/>
        </w:rPr>
      </w:pPr>
    </w:p>
    <w:p>
      <w:pPr>
        <w:adjustRightInd w:val="0"/>
        <w:snapToGrid w:val="0"/>
        <w:spacing w:line="360" w:lineRule="auto"/>
        <w:rPr>
          <w:rFonts w:ascii="宋体" w:hAnsi="宋体" w:eastAsia="宋体" w:cstheme="minorEastAsia"/>
          <w:color w:val="000000"/>
          <w:kern w:val="0"/>
          <w:sz w:val="28"/>
          <w:szCs w:val="28"/>
        </w:rPr>
      </w:pPr>
      <w:r>
        <w:rPr>
          <w:rFonts w:ascii="宋体" w:hAnsi="宋体" w:eastAsia="宋体" w:cstheme="minorEastAsia"/>
          <w:b/>
          <w:bCs/>
          <w:color w:val="000000"/>
          <w:kern w:val="0"/>
          <w:sz w:val="28"/>
          <w:szCs w:val="28"/>
        </w:rPr>
        <w:t>作者柯勤飞，系上海应用技术大学校长、教授、博士生导师，教育部材料教指委委员，中国化工教育协会副会长</w:t>
      </w:r>
    </w:p>
    <w:p>
      <w:pPr>
        <w:adjustRightInd w:val="0"/>
        <w:snapToGrid w:val="0"/>
        <w:spacing w:line="360" w:lineRule="auto"/>
      </w:pPr>
      <w:r>
        <w:rPr>
          <w:rFonts w:hint="eastAsia" w:ascii="宋体" w:hAnsi="宋体" w:eastAsia="宋体" w:cstheme="minorEastAsia"/>
          <w:color w:val="000000"/>
          <w:kern w:val="0"/>
          <w:sz w:val="28"/>
          <w:szCs w:val="28"/>
        </w:rPr>
        <w:t>发表时间：2020年11月26日</w:t>
      </w:r>
    </w:p>
    <w:p>
      <w:pPr>
        <w:widowControl/>
        <w:spacing w:line="360" w:lineRule="auto"/>
        <w:jc w:val="left"/>
      </w:pPr>
      <w:r>
        <w:br w:type="page"/>
      </w:r>
    </w:p>
    <w:p>
      <w:pPr>
        <w:pStyle w:val="2"/>
        <w:spacing w:line="360" w:lineRule="auto"/>
        <w:jc w:val="center"/>
        <w:rPr>
          <w:rFonts w:asciiTheme="minorEastAsia" w:hAnsiTheme="minorEastAsia"/>
          <w:sz w:val="30"/>
          <w:szCs w:val="30"/>
        </w:rPr>
      </w:pPr>
      <w:bookmarkStart w:id="5" w:name="_Toc131671170"/>
      <w:r>
        <w:rPr>
          <w:rFonts w:hint="eastAsia" w:asciiTheme="minorEastAsia" w:hAnsiTheme="minorEastAsia"/>
          <w:sz w:val="30"/>
          <w:szCs w:val="30"/>
        </w:rPr>
        <w:t>上海高校课程思政领航计划（整体改革领航高校）申报书</w:t>
      </w:r>
      <w:bookmarkEnd w:id="5"/>
    </w:p>
    <w:p>
      <w:pPr>
        <w:spacing w:line="360" w:lineRule="auto"/>
      </w:pPr>
    </w:p>
    <w:p>
      <w:pPr>
        <w:pStyle w:val="10"/>
        <w:adjustRightInd w:val="0"/>
        <w:snapToGrid w:val="0"/>
        <w:spacing w:before="0" w:beforeAutospacing="0" w:after="0" w:afterAutospacing="0" w:line="360" w:lineRule="auto"/>
        <w:ind w:firstLine="562" w:firstLineChars="200"/>
        <w:rPr>
          <w:b/>
          <w:sz w:val="28"/>
          <w:szCs w:val="28"/>
        </w:rPr>
      </w:pPr>
      <w:r>
        <w:rPr>
          <w:rFonts w:hint="eastAsia"/>
          <w:b/>
          <w:sz w:val="28"/>
          <w:szCs w:val="28"/>
        </w:rPr>
        <w:t>一、前期工作基础</w:t>
      </w:r>
    </w:p>
    <w:p>
      <w:pPr>
        <w:adjustRightInd w:val="0"/>
        <w:snapToGrid w:val="0"/>
        <w:spacing w:before="156" w:beforeLines="50" w:line="360" w:lineRule="auto"/>
        <w:ind w:firstLine="560" w:firstLineChars="200"/>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上海应用技术大学是一所以应用型、技术型科学研究为导向，以工科为主、经管文理多学科协调发展、特色鲜明的应用技术大学。学校“缘行业而立，依企业而强”，按照“非常希望学校把‘应用技术’这篇文章做好，在上海高等教育改革试验中起到示范性作用”的指示要求，全面加强内涵建设，全面推进改革发展，致力于建设具有国际影响力的高水平应用技术大学，走出了一条颇具特色的“应用技术型”高校特色发展之路。近年来，学校先后被列为：教育部卓越工程师教育培养计划、全国100所应用型示范本科高校、上海市首批深化创新创业教育改革示范高校、首批上海高水平地方应用型建设高校。</w:t>
      </w:r>
    </w:p>
    <w:p>
      <w:pPr>
        <w:adjustRightInd w:val="0"/>
        <w:snapToGrid w:val="0"/>
        <w:spacing w:line="360" w:lineRule="auto"/>
        <w:ind w:firstLine="560" w:firstLineChars="200"/>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学校坚持扎根中国大地办大学，全面落实立德树人根本任务，大力加强思想政治教育工作，为国家培养了大批厚德精技的高素质应用技术人才。2017年以来，全校干部师生深入学习贯彻习近平新时代中国特色社会主义思想和党的十九大精神，深入学习贯彻全国和上海高校思想政治工作会议精神，深入学习贯彻全国教育大会精神，坚持以立德树人为根本，以理想信念教育为核心，以社会主义核心价值观为引领，以大力提升人才培养质量为关键，从战略高度构建了思想政治理论课程、综合素养课程、专业育人课程“三位一体”的课程思政教育教学体系，制度建设、课程建设、师资培训、评价考核等各项工作成效突出，新时代上海应用技术大学课程思政改革，迸发出巨大活力，呈现出蓬勃势头，为全面实施课程思政奠定了厚实基础。</w:t>
      </w:r>
    </w:p>
    <w:p>
      <w:pPr>
        <w:pStyle w:val="10"/>
        <w:adjustRightInd w:val="0"/>
        <w:snapToGrid w:val="0"/>
        <w:spacing w:before="0" w:beforeAutospacing="0" w:after="0" w:afterAutospacing="0" w:line="360" w:lineRule="auto"/>
        <w:ind w:firstLine="562" w:firstLineChars="200"/>
        <w:rPr>
          <w:b/>
          <w:sz w:val="28"/>
          <w:szCs w:val="28"/>
        </w:rPr>
      </w:pPr>
      <w:r>
        <w:rPr>
          <w:rFonts w:hint="eastAsia"/>
          <w:b/>
          <w:sz w:val="28"/>
          <w:szCs w:val="28"/>
        </w:rPr>
        <w:t>（一）党政思想统一，强化顶层设计，课程思政体制机制立体覆盖</w:t>
      </w:r>
    </w:p>
    <w:p>
      <w:pPr>
        <w:adjustRightInd w:val="0"/>
        <w:snapToGrid w:val="0"/>
        <w:spacing w:line="360" w:lineRule="auto"/>
        <w:ind w:firstLine="560" w:firstLineChars="200"/>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学校党政深刻领会中央和市委决策部署，统揽立德树人根本大局，把推进课程思政、创新课程思政、有效实施课程思政摆在教育事业发展关键位置，在体制构建、制度创设、机制融合等方面狠抓建设，形成了上下贯通、立体覆盖、有机联动的实施保证系统。</w:t>
      </w:r>
    </w:p>
    <w:p>
      <w:pPr>
        <w:adjustRightInd w:val="0"/>
        <w:snapToGrid w:val="0"/>
        <w:spacing w:line="360" w:lineRule="auto"/>
        <w:ind w:firstLine="548" w:firstLineChars="196"/>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1.上下贯通，课程思政改革体制完备</w:t>
      </w:r>
    </w:p>
    <w:p>
      <w:pPr>
        <w:adjustRightInd w:val="0"/>
        <w:snapToGrid w:val="0"/>
        <w:spacing w:line="360" w:lineRule="auto"/>
        <w:ind w:firstLine="560" w:firstLineChars="200"/>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学校党政从课程思政改革建设需要出发，明确了“党委统一领导、党政部门协同配合、以行政渠道为主组织落实”的工作体制。学校层面建立了思想政治工作委员会、课程思政教育教学改革领导小组、课程思政教育教学改革指导委员会、课程思政教育教学改革办公室，成立了党委教师工作部并有效运行。校党政领导班子特别是分管思想政治教育工作和教学工作的班子成员，是全校课程思政体制内的核心成员，党委宣传部、党委教师工作部、教务处、马克思主义学院是全校课程思政推进落实的关键部门。与此同时，各二级学院党政班子切实把课程思政建设列入工作重点，在组织架构、人员保障、示范带动等方面，采取了诸多措施。各二级学院全部成立了思想政治工作委员会、课程思政指导委员会、改革领导小组、专业团队、课程团队等，学院书记、院长均为课程思政领导小组组长。此外，全校课程思政团队均建立“临时党支部”，党组织引领推动、党员带头示范，成为非常重要的组织力量。</w:t>
      </w:r>
    </w:p>
    <w:p>
      <w:pPr>
        <w:adjustRightInd w:val="0"/>
        <w:snapToGrid w:val="0"/>
        <w:spacing w:line="360" w:lineRule="auto"/>
        <w:jc w:val="center"/>
        <w:rPr>
          <w:rFonts w:ascii="宋体" w:hAnsi="宋体" w:eastAsia="宋体" w:cstheme="minorEastAsia"/>
          <w:color w:val="000000"/>
          <w:kern w:val="0"/>
          <w:sz w:val="28"/>
          <w:szCs w:val="28"/>
        </w:rPr>
      </w:pPr>
      <w:r>
        <w:rPr>
          <w:rFonts w:ascii="宋体" w:hAnsi="宋体" w:eastAsia="宋体" w:cstheme="minorEastAsia"/>
          <w:color w:val="000000"/>
          <w:kern w:val="0"/>
          <w:sz w:val="28"/>
          <w:szCs w:val="28"/>
        </w:rPr>
        <mc:AlternateContent>
          <mc:Choice Requires="wps">
            <w:drawing>
              <wp:anchor distT="0" distB="0" distL="114300" distR="114300" simplePos="0" relativeHeight="251659264" behindDoc="1" locked="0" layoutInCell="1" allowOverlap="1">
                <wp:simplePos x="0" y="0"/>
                <wp:positionH relativeFrom="column">
                  <wp:posOffset>180975</wp:posOffset>
                </wp:positionH>
                <wp:positionV relativeFrom="paragraph">
                  <wp:posOffset>28575</wp:posOffset>
                </wp:positionV>
                <wp:extent cx="4829175" cy="3571875"/>
                <wp:effectExtent l="0" t="0" r="28575" b="28575"/>
                <wp:wrapNone/>
                <wp:docPr id="3" name="Rectangle 3"/>
                <wp:cNvGraphicFramePr/>
                <a:graphic xmlns:a="http://schemas.openxmlformats.org/drawingml/2006/main">
                  <a:graphicData uri="http://schemas.microsoft.com/office/word/2010/wordprocessingShape">
                    <wps:wsp>
                      <wps:cNvSpPr>
                        <a:spLocks noChangeArrowheads="1"/>
                      </wps:cNvSpPr>
                      <wps:spPr bwMode="auto">
                        <a:xfrm>
                          <a:off x="0" y="0"/>
                          <a:ext cx="4829175" cy="357187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Rectangle 3" o:spid="_x0000_s1026" o:spt="1" style="position:absolute;left:0pt;margin-left:14.25pt;margin-top:2.25pt;height:281.25pt;width:380.25pt;z-index:-251657216;mso-width-relative:page;mso-height-relative:page;" fillcolor="#FFFFFF" filled="t" stroked="t" coordsize="21600,21600" o:gfxdata="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9pDut1wAAAAgBAAAPAAAAAAAAAAEAIAAAACIAAABkcnMvZG93bnJldi54bWxQSwECFAAUAAAA&#10;CACHTuJA49Er7CgCAABzBAAADgAAAAAAAAABACAAAAAmAQAAZHJzL2Uyb0RvYy54bWxQSwUGAAAA&#10;AAYABgBZAQAAwAUAAAAA&#10;">
                <v:fill on="t" focussize="0,0"/>
                <v:stroke color="#000000" miterlimit="8" joinstyle="miter"/>
                <v:imagedata o:title=""/>
                <o:lock v:ext="edit" aspectratio="f"/>
              </v:rect>
            </w:pict>
          </mc:Fallback>
        </mc:AlternateContent>
      </w:r>
      <w:r>
        <w:rPr>
          <w:rFonts w:hint="eastAsia" w:ascii="宋体" w:hAnsi="宋体" w:eastAsia="宋体" w:cstheme="minorEastAsia"/>
          <w:color w:val="000000"/>
          <w:kern w:val="0"/>
          <w:sz w:val="28"/>
          <w:szCs w:val="28"/>
        </w:rPr>
        <w:drawing>
          <wp:inline distT="0" distB="0" distL="114300" distR="114300">
            <wp:extent cx="4652010" cy="3665220"/>
            <wp:effectExtent l="9525" t="9525" r="12065" b="20955"/>
            <wp:docPr id="31" name="图片 1" descr="0e6a609fae7073d8689ac8cfe038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0e6a609fae7073d8689ac8cfe038893"/>
                    <pic:cNvPicPr>
                      <a:picLocks noChangeAspect="1"/>
                    </pic:cNvPicPr>
                  </pic:nvPicPr>
                  <pic:blipFill>
                    <a:blip r:embed="rId7"/>
                    <a:stretch>
                      <a:fillRect/>
                    </a:stretch>
                  </pic:blipFill>
                  <pic:spPr>
                    <a:xfrm>
                      <a:off x="0" y="0"/>
                      <a:ext cx="4652010" cy="3672160"/>
                    </a:xfrm>
                    <a:prstGeom prst="rect">
                      <a:avLst/>
                    </a:prstGeom>
                    <a:ln cmpd="dbl">
                      <a:solidFill>
                        <a:schemeClr val="bg1"/>
                      </a:solidFill>
                    </a:ln>
                  </pic:spPr>
                </pic:pic>
              </a:graphicData>
            </a:graphic>
          </wp:inline>
        </w:drawing>
      </w:r>
    </w:p>
    <w:p>
      <w:pPr>
        <w:widowControl/>
        <w:shd w:val="clear" w:color="auto" w:fill="FFFFFF"/>
        <w:spacing w:line="360" w:lineRule="auto"/>
        <w:jc w:val="center"/>
        <w:rPr>
          <w:rFonts w:ascii="Times New Roman" w:hAnsi="Times New Roman" w:cs="Times New Roman"/>
          <w:bCs/>
          <w:sz w:val="24"/>
          <w:szCs w:val="32"/>
        </w:rPr>
      </w:pPr>
      <w:r>
        <w:rPr>
          <w:rFonts w:hint="eastAsia" w:ascii="Times New Roman" w:hAnsi="Times New Roman" w:cs="Times New Roman"/>
          <w:bCs/>
          <w:sz w:val="24"/>
          <w:szCs w:val="32"/>
        </w:rPr>
        <w:t>图1-1  课程思政改革建设体制建设图</w:t>
      </w:r>
    </w:p>
    <w:p>
      <w:pPr>
        <w:adjustRightInd w:val="0"/>
        <w:snapToGrid w:val="0"/>
        <w:spacing w:line="360" w:lineRule="auto"/>
        <w:ind w:firstLine="548" w:firstLineChars="196"/>
        <w:rPr>
          <w:rFonts w:ascii="宋体" w:hAnsi="宋体" w:eastAsia="宋体" w:cstheme="minorEastAsia"/>
          <w:color w:val="000000"/>
          <w:kern w:val="0"/>
          <w:sz w:val="28"/>
          <w:szCs w:val="28"/>
        </w:rPr>
      </w:pPr>
    </w:p>
    <w:p>
      <w:pPr>
        <w:adjustRightInd w:val="0"/>
        <w:snapToGrid w:val="0"/>
        <w:spacing w:line="360" w:lineRule="auto"/>
        <w:ind w:firstLine="548" w:firstLineChars="196"/>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2.有序推进，课程思政改革制度创新</w:t>
      </w:r>
    </w:p>
    <w:p>
      <w:pPr>
        <w:adjustRightInd w:val="0"/>
        <w:snapToGrid w:val="0"/>
        <w:spacing w:line="360" w:lineRule="auto"/>
        <w:ind w:firstLine="560" w:firstLineChars="200"/>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学校党政从课程思政有效实施需要出发，以“关于加强和改进学校思想政治工作的实施意见”为统领，聚焦人才培养关键环节，强化课程思政制度建设。学校明确了课程思政各级机构的职责和任务，对体制衔接做了制度性安排。学校依据课程思政要求，修订完善了思想政治理论课、综合素养课和专业育人课等各类课程相关管理制度，制定了涵盖课程评审、立项、建设和验收的全流程管理规范，完善了课程思政公开课（观摩课）制度、精彩教案建设制度。学校把课程思政纳入年度重点工作和二级学院重大执行力考核指标，制定了涵盖5大指标、32个观测点的考核体系，考核结果与绩效经费的划拨直接挂钩。学校把教师参与和实施课程思政的情况列入职务职称评审、岗位聘用、评优奖励等重要内涵指标之一。在人才引进中将课程思政作为协议内容之一,使新进教师从进校开始就自觉强化课程思政意识。</w:t>
      </w:r>
      <w:bookmarkStart w:id="6" w:name="fileTitle"/>
      <w:r>
        <w:rPr>
          <w:rFonts w:hint="eastAsia" w:ascii="宋体" w:hAnsi="宋体" w:eastAsia="宋体" w:cstheme="minorEastAsia"/>
          <w:color w:val="000000"/>
          <w:kern w:val="0"/>
          <w:sz w:val="28"/>
          <w:szCs w:val="28"/>
        </w:rPr>
        <w:t>2018年6月，学校总结课程思政改革以来的经验，研究制定了《关于进一步推进课程思政教育教学改革的意见</w:t>
      </w:r>
      <w:bookmarkEnd w:id="6"/>
      <w:r>
        <w:rPr>
          <w:rFonts w:hint="eastAsia" w:ascii="宋体" w:hAnsi="宋体" w:eastAsia="宋体" w:cstheme="minorEastAsia"/>
          <w:color w:val="000000"/>
          <w:kern w:val="0"/>
          <w:sz w:val="28"/>
          <w:szCs w:val="28"/>
        </w:rPr>
        <w:t>》，对课程思政的指导思想、建设目标、建设原则、课程体系、领导体制、运行机制、教师培训等等，都进行了系统的梳理和界定，为课程思政的深入实施奠定了扎实的制度基础。与此同时，学校在多项教学管理制度中，均突出强调了课程思政育人的相关要求。</w:t>
      </w:r>
    </w:p>
    <w:p>
      <w:pPr>
        <w:adjustRightInd w:val="0"/>
        <w:snapToGrid w:val="0"/>
        <w:spacing w:line="360" w:lineRule="auto"/>
        <w:ind w:firstLine="548" w:firstLineChars="196"/>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3.有机联动，课程思政改革机制完善</w:t>
      </w:r>
    </w:p>
    <w:p>
      <w:pPr>
        <w:adjustRightInd w:val="0"/>
        <w:snapToGrid w:val="0"/>
        <w:spacing w:line="360" w:lineRule="auto"/>
        <w:ind w:firstLine="560" w:firstLineChars="200"/>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学校党政从课程思政有序实施需要出发，全面加强机制建设。着力健全明晰的责任体系，把课程思政列入党委和基层党组织主体责任内容，细化落实校党政主体责任、二级学院落实责任、党员和教师实施责任。在整体机制构建中，学校形成了党政把手主抓——班子全员参与——分管思想教育、教学工作的校领导具体抓——党委宣传部、党委教师工作部、教务处、马克思主义学院全力推进的工作机制，为课程思政改革工作的有序实施起到了有效保证。课程思政相关组织根据上级要求和学校实际，及时部署、不断研究、扎实推进，2017年以来，校课程思政改革办公室先后召开会议30余次，推进落实工作的有序和高效。各二级学院党政班子把课程思政建设工作列入工作重点，与其他工作同部署、同落实，特别是院系党组织，把课程思政建设工作列入党的工作重要范畴，注重强化对课程实施的指导和促进工作，成为课程思政实施的关键环节；部分学院党总支书记、院长还亲自担任试点课程负责人，为课程建设注入了强大活力。学校积极推进多学科融通的育人体系，</w:t>
      </w:r>
      <w:r>
        <w:rPr>
          <w:rFonts w:ascii="宋体" w:hAnsi="宋体" w:eastAsia="宋体" w:cstheme="minorEastAsia"/>
          <w:color w:val="000000"/>
          <w:kern w:val="0"/>
          <w:sz w:val="28"/>
          <w:szCs w:val="28"/>
        </w:rPr>
        <w:t>依托示范马克思主义学院，思政课教师与</w:t>
      </w:r>
      <w:r>
        <w:rPr>
          <w:rFonts w:hint="eastAsia" w:ascii="宋体" w:hAnsi="宋体" w:eastAsia="宋体" w:cstheme="minorEastAsia"/>
          <w:color w:val="000000"/>
          <w:kern w:val="0"/>
          <w:sz w:val="28"/>
          <w:szCs w:val="28"/>
        </w:rPr>
        <w:t>二级</w:t>
      </w:r>
      <w:r>
        <w:rPr>
          <w:rFonts w:ascii="宋体" w:hAnsi="宋体" w:eastAsia="宋体" w:cstheme="minorEastAsia"/>
          <w:color w:val="000000"/>
          <w:kern w:val="0"/>
          <w:sz w:val="28"/>
          <w:szCs w:val="28"/>
        </w:rPr>
        <w:t>学院课程思政建设团队一一配对，</w:t>
      </w:r>
      <w:r>
        <w:rPr>
          <w:rFonts w:hint="eastAsia" w:ascii="宋体" w:hAnsi="宋体" w:eastAsia="宋体" w:cstheme="minorEastAsia"/>
          <w:color w:val="000000"/>
          <w:kern w:val="0"/>
          <w:sz w:val="28"/>
          <w:szCs w:val="28"/>
        </w:rPr>
        <w:t>共同探讨专业课程思政育德元素，共同研究制定教学大纲和课程方案，确保所有课程与思政课同向同行、协同育人效应</w:t>
      </w:r>
      <w:r>
        <w:rPr>
          <w:rFonts w:ascii="宋体" w:hAnsi="宋体" w:eastAsia="宋体" w:cstheme="minorEastAsia"/>
          <w:color w:val="000000"/>
          <w:kern w:val="0"/>
          <w:sz w:val="28"/>
          <w:szCs w:val="28"/>
        </w:rPr>
        <w:t>。学校鼓励教师</w:t>
      </w:r>
      <w:r>
        <w:rPr>
          <w:rFonts w:hint="eastAsia" w:ascii="宋体" w:hAnsi="宋体" w:eastAsia="宋体" w:cstheme="minorEastAsia"/>
          <w:color w:val="000000"/>
          <w:kern w:val="0"/>
          <w:sz w:val="28"/>
          <w:szCs w:val="28"/>
        </w:rPr>
        <w:t>通过</w:t>
      </w:r>
      <w:r>
        <w:rPr>
          <w:rFonts w:ascii="宋体" w:hAnsi="宋体" w:eastAsia="宋体" w:cstheme="minorEastAsia"/>
          <w:color w:val="000000"/>
          <w:kern w:val="0"/>
          <w:sz w:val="28"/>
          <w:szCs w:val="28"/>
        </w:rPr>
        <w:t>科研、教学团队深化课程思政理论研究和实践探索，提高教师作为课程思政教学质量决定性要素的能力与水平，推进</w:t>
      </w:r>
      <w:r>
        <w:rPr>
          <w:rFonts w:hint="eastAsia" w:ascii="宋体" w:hAnsi="宋体" w:eastAsia="宋体" w:cstheme="minorEastAsia"/>
          <w:color w:val="000000"/>
          <w:kern w:val="0"/>
          <w:sz w:val="28"/>
          <w:szCs w:val="28"/>
        </w:rPr>
        <w:t>了</w:t>
      </w:r>
      <w:r>
        <w:rPr>
          <w:rFonts w:ascii="宋体" w:hAnsi="宋体" w:eastAsia="宋体" w:cstheme="minorEastAsia"/>
          <w:color w:val="000000"/>
          <w:kern w:val="0"/>
          <w:sz w:val="28"/>
          <w:szCs w:val="28"/>
        </w:rPr>
        <w:t>课程思政教育教学过程的科学化、规范化建设。</w:t>
      </w:r>
      <w:r>
        <w:rPr>
          <w:rFonts w:hint="eastAsia" w:ascii="宋体" w:hAnsi="宋体" w:eastAsia="宋体" w:cstheme="minorEastAsia"/>
          <w:color w:val="000000"/>
          <w:kern w:val="0"/>
          <w:sz w:val="28"/>
          <w:szCs w:val="28"/>
        </w:rPr>
        <w:t>与此同时，学校着力打造“党政协同、学科协同、校院协同、内外协同”的良性机制，使课程思政“活”起来。如联合校外企业办思政，实施企业家、国企领导、行业企业总经理、总工程师、全国劳模走进课堂的开门思政格局。</w:t>
      </w:r>
    </w:p>
    <w:p>
      <w:pPr>
        <w:pStyle w:val="10"/>
        <w:adjustRightInd w:val="0"/>
        <w:snapToGrid w:val="0"/>
        <w:spacing w:before="0" w:beforeAutospacing="0" w:after="0" w:afterAutospacing="0" w:line="360" w:lineRule="auto"/>
        <w:ind w:firstLine="562" w:firstLineChars="200"/>
        <w:rPr>
          <w:b/>
          <w:sz w:val="28"/>
          <w:szCs w:val="28"/>
        </w:rPr>
      </w:pPr>
      <w:r>
        <w:rPr>
          <w:rFonts w:hint="eastAsia"/>
          <w:b/>
          <w:sz w:val="28"/>
          <w:szCs w:val="28"/>
        </w:rPr>
        <w:t>（二）紧扣盐溶于汤，突出校本特色，课程思政改革建设立体推进</w:t>
      </w:r>
    </w:p>
    <w:p>
      <w:pPr>
        <w:adjustRightInd w:val="0"/>
        <w:snapToGrid w:val="0"/>
        <w:spacing w:line="360" w:lineRule="auto"/>
        <w:ind w:firstLine="560" w:firstLineChars="200"/>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学校党政把握大局，聚焦改革创新和扎实建设，明确提出要把课程思政与学校的办学定位和应用型人才培养目标紧密结合，认真落实“盐溶于汤”的课程思政改革建设理念，多措并举，全方位促进了课程思政纵深发展。</w:t>
      </w:r>
    </w:p>
    <w:p>
      <w:pPr>
        <w:adjustRightInd w:val="0"/>
        <w:snapToGrid w:val="0"/>
        <w:spacing w:line="360" w:lineRule="auto"/>
        <w:ind w:firstLine="548" w:firstLineChars="196"/>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1.“盐溶于汤”思政理念全程贯通</w:t>
      </w:r>
    </w:p>
    <w:p>
      <w:pPr>
        <w:adjustRightInd w:val="0"/>
        <w:snapToGrid w:val="0"/>
        <w:spacing w:line="360" w:lineRule="auto"/>
        <w:ind w:firstLine="560" w:firstLineChars="200"/>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学校按照习近平总书记强调的“盐溶于水”的指导思想，学校在上海高校率先提出“盐溶于汤”的课程思政理念——将育德元素与上海应用技术大学的“办学特征、学科特色、专业特点、课程特质”等结合起来，挖掘学校、学科、专业、课程之中的精神养料，熬制具有“上应大特色滋味”的思政汤，科学放“盐”、艺术放“盐”，细化隐性思政，形成了具有校本特色的课程思政“上应”理念，退出</w:t>
      </w:r>
      <w:r>
        <w:rPr>
          <w:rFonts w:ascii="宋体" w:hAnsi="宋体" w:eastAsia="宋体" w:cstheme="minorEastAsia"/>
          <w:color w:val="000000"/>
          <w:kern w:val="0"/>
          <w:sz w:val="28"/>
          <w:szCs w:val="28"/>
        </w:rPr>
        <w:t>的</w:t>
      </w:r>
      <w:r>
        <w:rPr>
          <w:rFonts w:hint="eastAsia" w:ascii="宋体" w:hAnsi="宋体" w:eastAsia="宋体" w:cstheme="minorEastAsia"/>
          <w:color w:val="000000"/>
          <w:kern w:val="0"/>
          <w:sz w:val="28"/>
          <w:szCs w:val="28"/>
        </w:rPr>
        <w:t>是优质之汤、鲜美之汤、营养之汤。全校各级组织、教师始终注重贯彻“盐溶于汤”的思政理念，无论是中国系列课程、综合素养课程还是专业育人课程，在坚持原有人才培养方案的前提下，巧妙、合理融汇育德元素，课程变得更有吸引力、更有上应味道、更有清新口味，这为越来越宽广的课程思政之路奠定了厚实的根基。</w:t>
      </w:r>
    </w:p>
    <w:p>
      <w:pPr>
        <w:adjustRightInd w:val="0"/>
        <w:snapToGrid w:val="0"/>
        <w:spacing w:line="360" w:lineRule="auto"/>
        <w:ind w:firstLine="548" w:firstLineChars="196"/>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2.“上应底色”多路课程朝气蓬勃</w:t>
      </w:r>
    </w:p>
    <w:p>
      <w:pPr>
        <w:adjustRightInd w:val="0"/>
        <w:snapToGrid w:val="0"/>
        <w:spacing w:line="360" w:lineRule="auto"/>
        <w:ind w:firstLine="560" w:firstLineChars="200"/>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学校党政坚持把“盐”与“上应”高度契合，全面布局，多路齐发，课程思政竞相展示出强大活力。一是思想政治理论课程引育发力。作为上海市示范马克思主义学院，着重加强自身内涵建设和马克思主义理论课程建设，学院整体建设实力大幅提升，真正成为实施全校思想政治教育的主渠道；同时，思想政治理论课成为全校课程思政的关键引领和学理支撑，教师、教材、内容均与其它课程有机衔接。特别马院教师与专业课程团队的“结对”，成为有效举措。二是“中国系列”课程倍受热捧。学校精心打造了《中国智造》《美丽中国》课程，采取“教师主导、专家主讲、师生互动”的“项链模式”，成为深入推进应用型人才培养的重要课程。作为沪上高校首门党的十九大精神系统课程，《美丽中国》依托学校学科优势和专业特色，由校内各学院院长、地方领导和校外顶级专家担纲授课，培养学生创新生产美、创造生活美、实现生态美的潜能，备受关注。三是综合素养课程特色鲜明。学校立足中国特色社会主义制度背景和科技创新发展战略，凸显“应用技术人才”特质的综合素养课程建设成效突出。《中国古代技术》《中国当代技术》《“一带一路”车文同轨》《景观物语、草木关情——文化校园九讲》等15门课程，着重于社会责任、文化自信、科学精神、人文精神等要素，厚植学生家国情怀和技术兴国的理想信念，培养学生一丝不苟的工匠精神，突出技术背后的科学内涵和中国人的智慧，把具有代表性的技术思想和思维方法传授给学生，培养学生从事科学技术创新工作所必须具有的文化素养。《中国古代技术》成为学校首门上线慕课，《一带一路，车文同轨》获批为上海市级优质在线课程。四是专业育人课程凸显活力。学校将专业育人课程作为课程思政的关键和重点，精心谋划、有序推进，2017、2018、2019年先后确立实施了</w:t>
      </w:r>
      <w:r>
        <w:rPr>
          <w:rFonts w:hint="eastAsia" w:ascii="宋体" w:hAnsi="宋体" w:eastAsia="宋体" w:cstheme="minorEastAsia"/>
          <w:color w:val="000000" w:themeColor="text1"/>
          <w:kern w:val="0"/>
          <w:sz w:val="28"/>
          <w:szCs w:val="28"/>
          <w14:textFill>
            <w14:solidFill>
              <w14:schemeClr w14:val="tx1"/>
            </w14:solidFill>
          </w14:textFill>
        </w:rPr>
        <w:t>覆盖全部二级学院的120门专业试点课程，</w:t>
      </w:r>
      <w:r>
        <w:rPr>
          <w:rFonts w:hint="eastAsia" w:ascii="宋体" w:hAnsi="宋体" w:eastAsia="宋体" w:cstheme="minorEastAsia"/>
          <w:bCs/>
          <w:color w:val="000000"/>
          <w:kern w:val="0"/>
          <w:sz w:val="28"/>
          <w:szCs w:val="28"/>
        </w:rPr>
        <w:t>形成了挖掘梳理育德元素的“4S教学法”（</w:t>
      </w:r>
      <w:r>
        <w:rPr>
          <w:rFonts w:hint="eastAsia" w:ascii="宋体" w:hAnsi="宋体" w:eastAsia="宋体" w:cstheme="minorEastAsia"/>
          <w:color w:val="000000"/>
          <w:kern w:val="0"/>
          <w:sz w:val="28"/>
          <w:szCs w:val="28"/>
        </w:rPr>
        <w:t>师、时、史、势——即注重整理本学科的学术大师，引导学生向师长楷模学习；善于结合学科知识，分析社会实时热点问题；强调利用学科发展史料，剖析知识沿革；凸显专业课程的体系逻辑，把握学科发展趋势）。教师们还通过工程案例启智、人物故事感悟、职业规范引导等，着力增强学生价值判断能力、价值选择能力和价值塑造能力，实现专业知识与立德树人授课目标的有效融通。例如，香料香精学科以60多年积累的深厚学科理论为“营养底汤”，</w:t>
      </w:r>
      <w:r>
        <w:rPr>
          <w:rFonts w:ascii="宋体" w:hAnsi="宋体" w:eastAsia="宋体" w:cstheme="minorEastAsia"/>
          <w:color w:val="000000"/>
          <w:kern w:val="0"/>
          <w:sz w:val="28"/>
          <w:szCs w:val="28"/>
        </w:rPr>
        <w:t>紧密联系中国香料香精行业的发展，</w:t>
      </w:r>
      <w:r>
        <w:rPr>
          <w:rFonts w:hint="eastAsia" w:ascii="宋体" w:hAnsi="宋体" w:eastAsia="宋体" w:cstheme="minorEastAsia"/>
          <w:color w:val="000000"/>
          <w:kern w:val="0"/>
          <w:sz w:val="28"/>
          <w:szCs w:val="28"/>
        </w:rPr>
        <w:t>在学科专业中把近代以来爱国之士抱着实业救国的热忱，开始创建民族香料工业、形成香料香精工业体系的历史，与学校创建了中国顶级香精技术人才培养体系、构建了我国香精人才培养的标准化、系统化、规模化的培养模式，</w:t>
      </w:r>
      <w:r>
        <w:rPr>
          <w:rFonts w:ascii="宋体" w:hAnsi="宋体" w:eastAsia="宋体" w:cstheme="minorEastAsia"/>
          <w:color w:val="000000"/>
          <w:kern w:val="0"/>
          <w:sz w:val="28"/>
          <w:szCs w:val="28"/>
        </w:rPr>
        <w:t>主动服务上海乃至全国经济社会发展建设</w:t>
      </w:r>
      <w:r>
        <w:rPr>
          <w:rFonts w:hint="eastAsia" w:ascii="宋体" w:hAnsi="宋体" w:eastAsia="宋体" w:cstheme="minorEastAsia"/>
          <w:color w:val="000000"/>
          <w:kern w:val="0"/>
          <w:sz w:val="28"/>
          <w:szCs w:val="28"/>
        </w:rPr>
        <w:t>的光辉历程</w:t>
      </w:r>
      <w:r>
        <w:rPr>
          <w:rFonts w:ascii="宋体" w:hAnsi="宋体" w:eastAsia="宋体" w:cstheme="minorEastAsia"/>
          <w:color w:val="000000"/>
          <w:kern w:val="0"/>
          <w:sz w:val="28"/>
          <w:szCs w:val="28"/>
        </w:rPr>
        <w:t>，</w:t>
      </w:r>
      <w:r>
        <w:rPr>
          <w:rFonts w:hint="eastAsia" w:ascii="宋体" w:hAnsi="宋体" w:eastAsia="宋体" w:cstheme="minorEastAsia"/>
          <w:color w:val="000000"/>
          <w:kern w:val="0"/>
          <w:sz w:val="28"/>
          <w:szCs w:val="28"/>
        </w:rPr>
        <w:t>为我国香料香精行业的人才培养和技术进步做出了重大贡献为线索，挖掘香料香精学科专业育人元素，提升学生民族自豪感以及创造</w:t>
      </w:r>
      <w:r>
        <w:rPr>
          <w:rFonts w:ascii="宋体" w:hAnsi="宋体" w:eastAsia="宋体" w:cstheme="minorEastAsia"/>
          <w:color w:val="000000"/>
          <w:kern w:val="0"/>
          <w:sz w:val="28"/>
          <w:szCs w:val="28"/>
        </w:rPr>
        <w:t>“中国芯”</w:t>
      </w:r>
      <w:r>
        <w:rPr>
          <w:rFonts w:hint="eastAsia" w:ascii="宋体" w:hAnsi="宋体" w:eastAsia="宋体" w:cstheme="minorEastAsia"/>
          <w:color w:val="000000"/>
          <w:kern w:val="0"/>
          <w:sz w:val="28"/>
          <w:szCs w:val="28"/>
        </w:rPr>
        <w:t>的动力，厚植学生爱国家、爱行业的家国情怀和职业梦想，增强学生“四个自信”。通过试点，全校专业育人课程积累了宝贵的经验，土木工程概论、天然香原料学、园林工程、化妆品功效评价等22门课程获批为上海市重点课程。</w:t>
      </w:r>
    </w:p>
    <w:p>
      <w:pPr>
        <w:adjustRightInd w:val="0"/>
        <w:snapToGrid w:val="0"/>
        <w:spacing w:line="360" w:lineRule="auto"/>
        <w:ind w:firstLine="548" w:firstLineChars="196"/>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3.“核心素养”筑牢四樑八柱</w:t>
      </w:r>
    </w:p>
    <w:p>
      <w:pPr>
        <w:adjustRightInd w:val="0"/>
        <w:snapToGrid w:val="0"/>
        <w:spacing w:line="360" w:lineRule="auto"/>
        <w:ind w:firstLine="560" w:firstLineChars="200"/>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学校在广泛调研的基础上，立足人才培养定位，以“政治认同、人文素养、技术思想、职业情怀”四个方面为核心，调研制定包含8大核心素养和32个基本要点的“应用型人才核心素养总体框架”，引导各专业结合各自实际将其内化到教学育人实践之中。在具体实施过程中，相关课程教师对思政元素首先内化于心进而外化于行，在组织开展课堂教学甚至课外活动中，落实了“滴灌”育德元素的要求。在此基础上，学校进一步精心完善了符合上应特点的“课程思政树”，把思想政治基本元素与厚德精技的上应育德要求很好地结合起来，使各门课程都能在这个基本体系中找到标准和遵循。</w:t>
      </w:r>
    </w:p>
    <w:p>
      <w:pPr>
        <w:adjustRightInd w:val="0"/>
        <w:snapToGrid w:val="0"/>
        <w:spacing w:line="360" w:lineRule="auto"/>
        <w:jc w:val="center"/>
        <w:rPr>
          <w:rFonts w:ascii="宋体" w:hAnsi="宋体" w:eastAsia="宋体" w:cstheme="minorEastAsia"/>
          <w:color w:val="000000"/>
          <w:kern w:val="0"/>
          <w:sz w:val="28"/>
          <w:szCs w:val="28"/>
        </w:rPr>
      </w:pPr>
      <w:r>
        <w:rPr>
          <w:rFonts w:ascii="宋体" w:hAnsi="宋体" w:eastAsia="宋体" w:cstheme="minorEastAsia"/>
          <w:color w:val="000000"/>
          <w:kern w:val="0"/>
          <w:sz w:val="28"/>
          <w:szCs w:val="28"/>
        </w:rPr>
        <w:drawing>
          <wp:inline distT="0" distB="0" distL="0" distR="0">
            <wp:extent cx="4237355" cy="2819400"/>
            <wp:effectExtent l="0" t="0" r="4445" b="0"/>
            <wp:docPr id="32" name="图片 2" descr="核心素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descr="核心素养.jpg"/>
                    <pic:cNvPicPr>
                      <a:picLocks noChangeAspect="1"/>
                    </pic:cNvPicPr>
                  </pic:nvPicPr>
                  <pic:blipFill>
                    <a:blip r:embed="rId8"/>
                    <a:stretch>
                      <a:fillRect/>
                    </a:stretch>
                  </pic:blipFill>
                  <pic:spPr>
                    <a:xfrm>
                      <a:off x="0" y="0"/>
                      <a:ext cx="4237355" cy="2819400"/>
                    </a:xfrm>
                    <a:prstGeom prst="rect">
                      <a:avLst/>
                    </a:prstGeom>
                    <a:ln>
                      <a:noFill/>
                    </a:ln>
                  </pic:spPr>
                </pic:pic>
              </a:graphicData>
            </a:graphic>
          </wp:inline>
        </w:drawing>
      </w:r>
    </w:p>
    <w:p>
      <w:pPr>
        <w:widowControl/>
        <w:shd w:val="clear" w:color="auto" w:fill="FFFFFF"/>
        <w:spacing w:line="360" w:lineRule="auto"/>
        <w:jc w:val="center"/>
        <w:rPr>
          <w:rFonts w:ascii="Times New Roman" w:hAnsi="Times New Roman" w:cs="Times New Roman"/>
          <w:bCs/>
          <w:sz w:val="24"/>
          <w:szCs w:val="32"/>
        </w:rPr>
      </w:pPr>
      <w:r>
        <w:rPr>
          <w:rFonts w:hint="eastAsia" w:ascii="Times New Roman" w:hAnsi="Times New Roman" w:cs="Times New Roman"/>
          <w:bCs/>
          <w:sz w:val="24"/>
          <w:szCs w:val="32"/>
        </w:rPr>
        <w:t>图1-2  应用型人才核心素养总体框架图</w:t>
      </w:r>
    </w:p>
    <w:p>
      <w:pPr>
        <w:adjustRightInd w:val="0"/>
        <w:snapToGrid w:val="0"/>
        <w:spacing w:line="360" w:lineRule="auto"/>
        <w:jc w:val="center"/>
        <w:rPr>
          <w:rFonts w:ascii="宋体" w:hAnsi="宋体" w:eastAsia="宋体" w:cstheme="minorEastAsia"/>
          <w:b/>
          <w:color w:val="000000"/>
          <w:kern w:val="0"/>
          <w:sz w:val="28"/>
          <w:szCs w:val="28"/>
        </w:rPr>
      </w:pPr>
    </w:p>
    <w:p>
      <w:pPr>
        <w:adjustRightInd w:val="0"/>
        <w:snapToGrid w:val="0"/>
        <w:spacing w:line="360" w:lineRule="auto"/>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以此为指导，结合自身课程特色挖掘和梳理学科中蕴含的育德元素，编制各门专业课程思政教学指南。如今，思政树开花结果，形成思政林局面。</w:t>
      </w:r>
    </w:p>
    <w:p>
      <w:pPr>
        <w:adjustRightInd w:val="0"/>
        <w:snapToGrid w:val="0"/>
        <w:spacing w:line="360" w:lineRule="auto"/>
        <w:jc w:val="center"/>
        <w:rPr>
          <w:rFonts w:ascii="宋体" w:hAnsi="宋体" w:eastAsia="宋体" w:cstheme="minorEastAsia"/>
          <w:b/>
          <w:color w:val="000000"/>
          <w:kern w:val="0"/>
          <w:sz w:val="28"/>
          <w:szCs w:val="28"/>
        </w:rPr>
      </w:pPr>
      <w:r>
        <w:rPr>
          <w:rFonts w:ascii="宋体" w:hAnsi="宋体" w:eastAsia="宋体"/>
          <w:sz w:val="28"/>
          <w:szCs w:val="28"/>
        </w:rPr>
        <w:drawing>
          <wp:inline distT="0" distB="0" distL="0" distR="0">
            <wp:extent cx="4767580" cy="2552700"/>
            <wp:effectExtent l="0" t="0" r="762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9"/>
                    <a:stretch>
                      <a:fillRect/>
                    </a:stretch>
                  </pic:blipFill>
                  <pic:spPr>
                    <a:xfrm>
                      <a:off x="0" y="0"/>
                      <a:ext cx="4767580" cy="2554872"/>
                    </a:xfrm>
                    <a:prstGeom prst="rect">
                      <a:avLst/>
                    </a:prstGeom>
                  </pic:spPr>
                </pic:pic>
              </a:graphicData>
            </a:graphic>
          </wp:inline>
        </w:drawing>
      </w:r>
    </w:p>
    <w:p>
      <w:pPr>
        <w:widowControl/>
        <w:shd w:val="clear" w:color="auto" w:fill="FFFFFF"/>
        <w:spacing w:line="360" w:lineRule="auto"/>
        <w:jc w:val="center"/>
        <w:rPr>
          <w:rFonts w:ascii="Times New Roman" w:hAnsi="Times New Roman" w:cs="Times New Roman"/>
          <w:bCs/>
          <w:sz w:val="24"/>
          <w:szCs w:val="32"/>
        </w:rPr>
      </w:pPr>
      <w:r>
        <w:rPr>
          <w:rFonts w:hint="eastAsia" w:ascii="Times New Roman" w:hAnsi="Times New Roman" w:cs="Times New Roman"/>
          <w:bCs/>
          <w:sz w:val="24"/>
          <w:szCs w:val="32"/>
        </w:rPr>
        <w:t>图1-3  课程思政育人思政树与思政林</w:t>
      </w:r>
    </w:p>
    <w:p>
      <w:pPr>
        <w:adjustRightInd w:val="0"/>
        <w:snapToGrid w:val="0"/>
        <w:spacing w:line="360" w:lineRule="auto"/>
        <w:ind w:firstLine="551" w:firstLineChars="196"/>
        <w:rPr>
          <w:rFonts w:ascii="宋体" w:hAnsi="宋体" w:eastAsia="宋体" w:cstheme="minorEastAsia"/>
          <w:b/>
          <w:color w:val="000000"/>
          <w:kern w:val="0"/>
          <w:sz w:val="28"/>
          <w:szCs w:val="28"/>
        </w:rPr>
      </w:pPr>
    </w:p>
    <w:p>
      <w:pPr>
        <w:adjustRightInd w:val="0"/>
        <w:snapToGrid w:val="0"/>
        <w:spacing w:line="360" w:lineRule="auto"/>
        <w:ind w:firstLine="548" w:firstLineChars="196"/>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4.“多方资源”形成整合态势</w:t>
      </w:r>
    </w:p>
    <w:p>
      <w:pPr>
        <w:adjustRightInd w:val="0"/>
        <w:snapToGrid w:val="0"/>
        <w:spacing w:line="360" w:lineRule="auto"/>
        <w:ind w:firstLine="560" w:firstLineChars="200"/>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学校充分利用和整合校内外各类育人资源，完善协同机制，与奉贤区委区政府、周边街道乡镇推进区域联动、党建共建，与企事业单位开展联建共建，建设相关教育基地，把碎片化资源系统整合，联合开展思政教育，做大做强思政育人“同心圆”，形成校内外共同关心、支持思政育人、推动课程思政工作的大思政格局。如材料科学与工程学院与行业企业协同建设的《光电子材料》校企合作课程，接轨光电子技术相关企业，请企业专家进入课堂授课，让学生们选择自己感兴趣的方向，如对LED、太阳能电池等具体研究方向进行学术调研，了解光电子材料学科方向发展状况、存在问题和未来趋势，加深学生对光电子技术实际生产和光电子材料与器件的理解，提升学习兴趣动能，学思结合，学以致用，反哺课堂理论教学，增加课堂教学深度，确立智造强国、技术兴国的家国情怀和社会责任、使命担当的职业情怀。</w:t>
      </w:r>
    </w:p>
    <w:p>
      <w:pPr>
        <w:adjustRightInd w:val="0"/>
        <w:snapToGrid w:val="0"/>
        <w:spacing w:line="360" w:lineRule="auto"/>
        <w:ind w:firstLine="560" w:firstLineChars="200"/>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学校通过强化校园主题文化品牌功效，抓好第二课堂素质教育、第三课堂网络思政教育，在全校范围大力实施校园文化建设项目，通过举行一年一度的开学典礼、毕业典礼仪式，开展忠诠-尔纯思想政治教育奖、师德标兵、校长奖、校园先锋等评选表彰活动，通过举办文明礼仪修身工程、校园歌会、萱草文化节、中华母亲节等活动等，重点培养和塑造学生的主流价值观、集体荣誉感，树立文化自信。在市教卫工作党委、市教委指导和奉贤区有关部门的支持下，学校连续3年举办萱草文化节、连续10年举办中华母亲节，围绕传承孝道、感恩母爱、爱国报国等主题，有力促进了中华优秀传统文化的传承与弘扬，两大活动已经成为学校乃至上海高校的品牌。目前，学校生态学院植物园被列为上海市科普教育基地、上海“市民修身活动”市级示范点。学校还依托奉贤区“贤文化”优质资源，将全国文明村镇杨王村作为社会实践教学基地，定期开展现场教学，丰富了教学环节，加强了课程融入与实践的落实。近3年来，学校先后投入200余万元，整合校内外优质学科资源和行业企业育人资源开展课程建设，并投入专项资金完成了中国系列课和部分综合素养课的慕课化制作，公开向社会开放。</w:t>
      </w:r>
    </w:p>
    <w:p>
      <w:pPr>
        <w:pStyle w:val="10"/>
        <w:adjustRightInd w:val="0"/>
        <w:snapToGrid w:val="0"/>
        <w:spacing w:before="0" w:beforeAutospacing="0" w:after="0" w:afterAutospacing="0" w:line="360" w:lineRule="auto"/>
        <w:ind w:firstLine="562" w:firstLineChars="200"/>
        <w:rPr>
          <w:b/>
          <w:sz w:val="28"/>
          <w:szCs w:val="28"/>
        </w:rPr>
      </w:pPr>
      <w:r>
        <w:rPr>
          <w:rFonts w:hint="eastAsia"/>
          <w:b/>
          <w:sz w:val="28"/>
          <w:szCs w:val="28"/>
        </w:rPr>
        <w:t>（三）抓住教师主体，强化考核评价，课程思政建设管理立体加强</w:t>
      </w:r>
    </w:p>
    <w:p>
      <w:pPr>
        <w:adjustRightInd w:val="0"/>
        <w:snapToGrid w:val="0"/>
        <w:spacing w:line="360" w:lineRule="auto"/>
        <w:ind w:firstLine="560" w:firstLineChars="200"/>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学校党政紧密结合实际，坚持课程思政姓“课程”，牢牢抓住实施主体是教师这个“牛鼻子”，通过领导示范、各级带动、强化教师担当、强化监管考核等，全面加强质量管理和深度实施，实现了有质量的改革建设。</w:t>
      </w:r>
    </w:p>
    <w:p>
      <w:pPr>
        <w:adjustRightInd w:val="0"/>
        <w:snapToGrid w:val="0"/>
        <w:spacing w:line="360" w:lineRule="auto"/>
        <w:ind w:firstLine="548" w:firstLineChars="196"/>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1.领导干部带头示范，引领课程思政热潮</w:t>
      </w:r>
    </w:p>
    <w:p>
      <w:pPr>
        <w:adjustRightInd w:val="0"/>
        <w:snapToGrid w:val="0"/>
        <w:spacing w:line="360" w:lineRule="auto"/>
        <w:ind w:firstLine="560" w:firstLineChars="200"/>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学校党政主要领导亲自部署、亲自落实、亲自讲课，共同促进。学校党政把手经常这样说：书记抓思政课程、校长抓课程思政。学校领导班子成员经常深入课堂听课，了解教师授课育人情况。校党委书记刘宇陆同志多次主持召开课程思政改革指导委员会成员会议，每年给新生上第一堂思政课、为毕业生党员上党课、为《中国智造》讲授第一堂课等。上海市教委主任、我校原校长陆靖同志，多次主持课程思政建设工作推进会议，在马克思主义学院教师中就课程思政做专题动员，与课程思政有关工作负责人、试点课程负责人等进行深度沟通交流，深入研究落实“盐溶于汤”的课程思政工作理念，亲自</w:t>
      </w:r>
      <w:r>
        <w:rPr>
          <w:rFonts w:ascii="宋体" w:hAnsi="宋体" w:eastAsia="宋体" w:cstheme="minorEastAsia"/>
          <w:color w:val="000000"/>
          <w:kern w:val="0"/>
          <w:sz w:val="28"/>
          <w:szCs w:val="28"/>
        </w:rPr>
        <w:t>设计建设《中国古代技术》综合素养课，</w:t>
      </w:r>
      <w:r>
        <w:rPr>
          <w:rFonts w:hint="eastAsia" w:ascii="宋体" w:hAnsi="宋体" w:eastAsia="宋体" w:cstheme="minorEastAsia"/>
          <w:color w:val="000000"/>
          <w:kern w:val="0"/>
          <w:sz w:val="28"/>
          <w:szCs w:val="28"/>
        </w:rPr>
        <w:t>面向学生宣讲党的十九大精神，开展《学在大学》思想教育报告等。校长柯勤飞同志多次与课程思政办公室一起谋划工作，提出学校课程思政不仅要有量，更要有质，努力打造“金课”。校党委书记刘宇陆和校长柯勤飞分别在《光明日报》和《中国教育报》以《以高质量党建落实立德树人根本任务》和《融合创新：打造课程思政金课》为题发表署名文章，成为引领“课程思政”建设的关键思想要素。奉贤区委书记庄木弟同志，应邀走进学校《美丽中国》课堂，向学生讲授思政课。学校分管校领导会同有关部门负责同志反复研讨落实方案，多次主持召开办公室成员会议，多次深入试点课程课堂，多次深入学院调研指导改革工作，扎实推进课程思政。各二级学院党组织书记、院长及其领导班子成员，靠前指挥，主动承担课程、主动授课、主动研究推进。校领导、学院党政负责人、课程思政办公室成员深入试点课程的课堂，听课1</w:t>
      </w:r>
      <w:r>
        <w:rPr>
          <w:rFonts w:ascii="宋体" w:hAnsi="宋体" w:eastAsia="宋体" w:cstheme="minorEastAsia"/>
          <w:color w:val="000000"/>
          <w:kern w:val="0"/>
          <w:sz w:val="28"/>
          <w:szCs w:val="28"/>
        </w:rPr>
        <w:t>00</w:t>
      </w:r>
      <w:r>
        <w:rPr>
          <w:rFonts w:hint="eastAsia" w:ascii="宋体" w:hAnsi="宋体" w:eastAsia="宋体" w:cstheme="minorEastAsia"/>
          <w:color w:val="000000"/>
          <w:kern w:val="0"/>
          <w:sz w:val="28"/>
          <w:szCs w:val="28"/>
        </w:rPr>
        <w:t>余人次。全校领导干部高度重视课程思政推进落实，一级带一级，在师生中起到了很好的示范引领作用。</w:t>
      </w:r>
    </w:p>
    <w:p>
      <w:pPr>
        <w:adjustRightInd w:val="0"/>
        <w:snapToGrid w:val="0"/>
        <w:spacing w:line="360" w:lineRule="auto"/>
        <w:ind w:firstLine="548" w:firstLineChars="196"/>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2.着力深化教师培训，提升课程思政能力</w:t>
      </w:r>
    </w:p>
    <w:p>
      <w:pPr>
        <w:adjustRightInd w:val="0"/>
        <w:snapToGrid w:val="0"/>
        <w:spacing w:line="360" w:lineRule="auto"/>
        <w:ind w:firstLine="560" w:firstLineChars="200"/>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学校紧紧围绕增强教师育德意识和育德能力这个重点，着力推进“思政队伍”向“队伍思政”建设发展，促进教师从“不会思政”转向“高质量思政”。学校举办学习贯彻全国高校思想政治工作会议精神专题培训班，邀请市教卫工作党委原副书记、市教委原副主任高德毅同志为全校中层干部、党务干部、思政教师、课程思政试点教师讲解贯彻落实课程思政的基本要求；邀请了忻平、胡保国、刘西拉、张智强、刘畅、卢家楣等多位专家进校，讲授课程思政建设的基本理念、要求和规范；组织课程思政团队教师赴“中国商飞公司”等大型企业开展主题党日教育活动；学校以专题培训班、二级学院院长培训等形式为载体，先后打造了“明德讲坛”和“教师沙龙”等教师培训发展品牌。学校把综合素养课作为课程思政的试验田、孵化器，学院院长、学科带头人、专业责任教授对课程思政先行先试，研究解决课程思政教学难点与方法；</w:t>
      </w:r>
      <w:r>
        <w:rPr>
          <w:rFonts w:hint="eastAsia" w:ascii="宋体" w:hAnsi="宋体" w:eastAsia="宋体" w:cstheme="minorEastAsia"/>
          <w:bCs/>
          <w:color w:val="000000"/>
          <w:kern w:val="0"/>
          <w:sz w:val="28"/>
          <w:szCs w:val="28"/>
        </w:rPr>
        <w:t>鼓励教师打通专业壁垒，</w:t>
      </w:r>
      <w:r>
        <w:rPr>
          <w:rFonts w:hint="eastAsia" w:ascii="宋体" w:hAnsi="宋体" w:eastAsia="宋体" w:cstheme="minorEastAsia"/>
          <w:color w:val="000000"/>
          <w:kern w:val="0"/>
          <w:sz w:val="28"/>
          <w:szCs w:val="28"/>
        </w:rPr>
        <w:t>以团队力量深化课程思政研讨，同时举办课程思政公开课，在全校范围内开展讲课竞赛等，推进课程思政教育科学化、规范化建设。学校在总体试点方案规划下，注重以点带面，示范引领、辐射带动，及时推广教师中的好思路好做法，先后举办了课程思政阶段性总结推进大会、专业育人课程思政教改负责人交流会，课程思政建设专家论证研讨会，马克思主义学院课程思政教学改革研讨会，全校课程思政教学改革交流研讨会等，一系列研讨活动，提升了广大教师的课程思政意识，辐射了试点中积累的好经验好做法，更统一了教师队伍着力推进课程思政的决心和动力。</w:t>
      </w:r>
    </w:p>
    <w:p>
      <w:pPr>
        <w:adjustRightInd w:val="0"/>
        <w:snapToGrid w:val="0"/>
        <w:spacing w:line="360" w:lineRule="auto"/>
        <w:ind w:firstLine="548" w:firstLineChars="196"/>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3.注重加强考核评价，保障课程思政建设质量</w:t>
      </w:r>
    </w:p>
    <w:p>
      <w:pPr>
        <w:adjustRightInd w:val="0"/>
        <w:snapToGrid w:val="0"/>
        <w:spacing w:line="360" w:lineRule="auto"/>
        <w:ind w:firstLine="560" w:firstLineChars="200"/>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学校坚持多管齐下、完善课程“闭环”，全面加强课程思政评价考核。制定了涵盖思想政治理论课、综合素养课、专业育人课等课程的“评审——立项——建设——验收”全流程管理规范。完善课程内涵制度建设，依据课程性质和建设类别明确相应的管理要求，完善了课程思政公开课（观摩课）制度、精彩教案建设制度。在课程思政建设中，实施校领导、学院党政负责人、课程思政领导小组办公室成员“三级听课制”，监管和提高课程思政的教育教学质量。同时在学校原有督导听课、同行评价和学生评教中加大对课程思政实施效果的评价，实行学生满意度调研等，以质量标准为依据加强教学质量的闭环监控。学校对二级学院年度重点工作考核中，制定了涵盖5大指标、32个观测点的考核体系，全面考察学院课程思政改革建设的过程与成效，并将考核结果与绩效经费的划拨直接挂钩。学校以教师参与和实施课程思政的情况作为职务职称评审、岗位聘用、评优奖励的重要内容；在人才引进签约中，将课程育人作为一项任务体现在内容体系上,使新进教师一开始就重视课程思政。学校课程思政改革办公室坚持目标导向与问题导向，就课程基本建设、完善课程考核体系、评选表彰优秀课程以及扩大课程思政影响力等研究设立了基本管理制度，促进教师规范课程思政行为。</w:t>
      </w:r>
    </w:p>
    <w:p>
      <w:pPr>
        <w:adjustRightInd w:val="0"/>
        <w:snapToGrid w:val="0"/>
        <w:spacing w:line="360" w:lineRule="auto"/>
        <w:ind w:firstLine="560" w:firstLineChars="200"/>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上海应用技术大学课程思政改革建设工作，对标要求、结合校情、点面推进、纵横延展、立体覆盖，取得了阶段性工作成效。2017年8月，市委高校思政工作专项督查工作组在督查后认为：学校以严格落实党委主体责任、构建全员育人思政大格局为目标，积极创新思想政治工作方式，推动各项工作的层层落实。学校党委注重发挥党建工作的引领作用，在“课程思政”团队探索建立临时支部，提升推进“课程思政”的有效性；学校党委能够结合思政工作会议的新理念新要求，结合学校的学科和专业特点，努力加强思想政治工作的改革创新和课程思政的有效推进。学校凝炼形成“厚德精技思政树”等课程思政教育试点方案，构建了《中国智造》等一批品牌课程，发挥了良好的育人作用。2018年10月，市委巡视组认为：</w:t>
      </w:r>
      <w:r>
        <w:rPr>
          <w:rFonts w:ascii="宋体" w:hAnsi="宋体" w:eastAsia="宋体" w:cstheme="minorEastAsia"/>
          <w:color w:val="000000"/>
          <w:kern w:val="0"/>
          <w:sz w:val="28"/>
          <w:szCs w:val="28"/>
        </w:rPr>
        <w:t>上应大党委能认真贯彻习近平总书记“坚持社会主义办学方向”的指示精神，落实党委领导下的校长负责制，推进学校改革，注重内涵建设，办学定位清晰，发展目标明确。</w:t>
      </w:r>
    </w:p>
    <w:p>
      <w:pPr>
        <w:adjustRightInd w:val="0"/>
        <w:snapToGrid w:val="0"/>
        <w:spacing w:line="360" w:lineRule="auto"/>
        <w:ind w:firstLine="560" w:firstLineChars="200"/>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学校课程思政，在上应学子中引起强烈反响，得到广大学生的高度认可。综合素养课受到学生们的追捧，网上选课平台一经开放，名额便被“秒杀”，学校不得不多次重新开放报名系统，将名额增至最大限度，“扩招”听课学生。综合素养课、专业育人课的学生问卷调查显示，89%的学生认为通过课程的学习，在世界观、人生观、价值观方面得到提升；88.7%的学生对试点课程的效果感到满意；88.3%的学生对课程思政教学改革的形式表示认可，认为通过将课程思政教学改革有助于专业知识的掌握。</w:t>
      </w:r>
    </w:p>
    <w:p>
      <w:pPr>
        <w:adjustRightInd w:val="0"/>
        <w:snapToGrid w:val="0"/>
        <w:spacing w:line="360" w:lineRule="auto"/>
        <w:ind w:firstLine="560" w:firstLineChars="200"/>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学校课程思政建设经验还由上海辐射中西部，洛阳理工学院等高校多次到校交流，被新疆喀什大学“移植复制”。学校课程思政试点教师和马克思主义学院教授也多次到外校传送学校课程思政教育教学改革相关做法，得到高校同行的普遍赞同。《光明日报》《中国青年报》《中国科学报》《解放日报》《文汇报》，东方卫视频道、上海教育电视台，人民网，光明网，中青在线网、上观新闻等主流媒体对我校课程思政教育教学改革工作进行了30多次多维度、大范围的专题报道，获得了良好的社会效应。</w:t>
      </w:r>
    </w:p>
    <w:p>
      <w:pPr>
        <w:adjustRightInd w:val="0"/>
        <w:snapToGrid w:val="0"/>
        <w:spacing w:line="360" w:lineRule="auto"/>
        <w:ind w:firstLine="560" w:firstLineChars="200"/>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历经办学65年来立德树人事业的历史积淀，学校思想政治教育工作、全方位育人实践、课程思政改革探索积累了厚实的基础，在培养厚德精技的高素质应用技术人才的道路上，铸就了正确的理念、宝贵的经验、浓厚的文化。特别是2017年以来，学校进一步强化建设，课程思政更加焕发了勃勃生机。综合起来看，有以下几个方面是我们弥足珍贵并将持续坚持的体会：</w:t>
      </w:r>
    </w:p>
    <w:p>
      <w:pPr>
        <w:adjustRightInd w:val="0"/>
        <w:snapToGrid w:val="0"/>
        <w:spacing w:line="360" w:lineRule="auto"/>
        <w:ind w:firstLine="560" w:firstLineChars="200"/>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一是必须坚持党对课程思政的全面领导。学校党委直至二级单位党组织、全校党支部，层层抓落实，一竿子插到底，强力推进，既是贯彻党对高校全面领导的要求，又是落实党组织主体责任的范畴，为课程思政提供了坚强的政治引领和组织保障。</w:t>
      </w:r>
    </w:p>
    <w:p>
      <w:pPr>
        <w:adjustRightInd w:val="0"/>
        <w:snapToGrid w:val="0"/>
        <w:spacing w:line="360" w:lineRule="auto"/>
        <w:ind w:firstLine="560" w:firstLineChars="200"/>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二是必须强调党政协同推进课程思政。党政共同负责、行政渠道为主推进课程思政，是适应高校管理体制、顺应教育教学规律的有效形式。课程思政本是高校育人题中应有之义，强化育德元素、遵循教育规律，党政齐抓共管，是保证课程思政更加畅通施行的基本保障。</w:t>
      </w:r>
    </w:p>
    <w:p>
      <w:pPr>
        <w:adjustRightInd w:val="0"/>
        <w:snapToGrid w:val="0"/>
        <w:spacing w:line="360" w:lineRule="auto"/>
        <w:ind w:firstLine="560" w:firstLineChars="200"/>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三是必须紧密结合学校实际改革建设。思想政治工作的共性要求是指导高校育人的指挥棒，在实际运行中，与校情、校本结合，合理落实“盐溶于汤”的理念，是保证课程思政“有机”融入并产生“溢出”效应的关键。</w:t>
      </w:r>
    </w:p>
    <w:p>
      <w:pPr>
        <w:adjustRightInd w:val="0"/>
        <w:snapToGrid w:val="0"/>
        <w:spacing w:line="360" w:lineRule="auto"/>
        <w:ind w:firstLine="700" w:firstLineChars="250"/>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四是必须紧紧依靠教师这个实践主体。教师是课程的直接责任人，“守好一段渠”“种好责任田”，归根到底要靠教师。因此，教师的育德意识、育德能力，教师的忠诚担当，是课程思政实施的关键，必须把紧紧抓住教师“观念”“方法”转变这个核心。</w:t>
      </w:r>
    </w:p>
    <w:p>
      <w:pPr>
        <w:spacing w:line="360" w:lineRule="auto"/>
        <w:rPr>
          <w:rFonts w:ascii="宋体" w:hAnsi="宋体" w:eastAsia="宋体"/>
          <w:sz w:val="28"/>
          <w:szCs w:val="28"/>
        </w:rPr>
      </w:pPr>
      <w:r>
        <w:rPr>
          <w:rFonts w:hint="eastAsia" w:ascii="宋体" w:hAnsi="宋体" w:eastAsia="宋体" w:cstheme="minorEastAsia"/>
          <w:color w:val="000000"/>
          <w:kern w:val="0"/>
          <w:sz w:val="28"/>
          <w:szCs w:val="28"/>
        </w:rPr>
        <w:t>五是必须把质量监管纳入常态机制。</w:t>
      </w:r>
      <w:r>
        <w:rPr>
          <w:rFonts w:hint="eastAsia" w:ascii="宋体" w:hAnsi="宋体" w:eastAsia="宋体"/>
          <w:sz w:val="28"/>
          <w:szCs w:val="28"/>
        </w:rPr>
        <w:t>课程思政的载体是课程，课程的管理是有规律的、也是有要求的。因此，真正融汇育德元素的课程，应当按照教学管理规律强化“闭环体系”建设，以此促进课程思政在课程教学中的常态化。</w:t>
      </w:r>
    </w:p>
    <w:p>
      <w:pPr>
        <w:pStyle w:val="10"/>
        <w:adjustRightInd w:val="0"/>
        <w:snapToGrid w:val="0"/>
        <w:spacing w:before="0" w:beforeAutospacing="0" w:after="0" w:afterAutospacing="0" w:line="360" w:lineRule="auto"/>
        <w:ind w:firstLine="562" w:firstLineChars="200"/>
        <w:rPr>
          <w:b/>
          <w:sz w:val="28"/>
          <w:szCs w:val="28"/>
        </w:rPr>
      </w:pPr>
      <w:r>
        <w:rPr>
          <w:rFonts w:hint="eastAsia"/>
          <w:b/>
          <w:sz w:val="28"/>
          <w:szCs w:val="28"/>
        </w:rPr>
        <w:t>二、建设方案</w:t>
      </w:r>
    </w:p>
    <w:p>
      <w:pPr>
        <w:pStyle w:val="10"/>
        <w:adjustRightInd w:val="0"/>
        <w:snapToGrid w:val="0"/>
        <w:spacing w:before="0" w:beforeAutospacing="0" w:after="0" w:afterAutospacing="0" w:line="360" w:lineRule="auto"/>
        <w:ind w:firstLine="562" w:firstLineChars="200"/>
        <w:rPr>
          <w:b/>
          <w:sz w:val="28"/>
          <w:szCs w:val="28"/>
        </w:rPr>
      </w:pPr>
      <w:r>
        <w:rPr>
          <w:rFonts w:hint="eastAsia"/>
          <w:b/>
          <w:sz w:val="28"/>
          <w:szCs w:val="28"/>
        </w:rPr>
        <w:t>（一）总体思路</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立足学校办学定位和学科专业特色，在总结固化学校课程思政教学改革经验和成果的基础上，持续推进习近平新时代中国特色社会主义思想进教材、进课堂、进头脑为主线。将课程思政教学改革与提升“质量意识”，打造“质量文化”相结合，使课程思政不断向纵深发展，内化成为教师的内生意识和行为自觉。</w:t>
      </w:r>
    </w:p>
    <w:p>
      <w:pPr>
        <w:adjustRightInd w:val="0"/>
        <w:snapToGrid w:val="0"/>
        <w:spacing w:line="360" w:lineRule="auto"/>
        <w:ind w:firstLine="548" w:firstLineChars="196"/>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1.聚焦未来工程师核心能力，培养“厚德精技”的高水平应用技术人才</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着力培养学生深入了解国情、坚定扎根基层、倾情服务一线的理想信念、家国情怀和责任担当。以“应用型人才核心素养总体框架”为统领，在毕业要求中进一步聚焦未来工程师ASci</w:t>
      </w:r>
      <w:r>
        <w:rPr>
          <w:rFonts w:ascii="宋体" w:hAnsi="宋体" w:eastAsia="宋体"/>
          <w:sz w:val="28"/>
          <w:szCs w:val="28"/>
        </w:rPr>
        <w:t>T</w:t>
      </w:r>
      <w:r>
        <w:rPr>
          <w:rFonts w:hint="eastAsia" w:ascii="宋体" w:hAnsi="宋体" w:eastAsia="宋体"/>
          <w:sz w:val="28"/>
          <w:szCs w:val="28"/>
        </w:rPr>
        <w:t>（爱科技）核心能力素养9要素（见下图），突出“厚德精技”的人才培养特色。持续弘扬工程师文化，厚植以“修身涵德为先，精技于业为主，全面发展为果”的“立德树人思政树”，夯实、拓宽立德树人“最后一公里”，不断完善课内外教学联动，校内外实践互补的“三圈三全十育人”体系。</w:t>
      </w:r>
    </w:p>
    <w:p>
      <w:pPr>
        <w:spacing w:line="360" w:lineRule="auto"/>
        <w:jc w:val="center"/>
        <w:rPr>
          <w:rFonts w:ascii="宋体" w:hAnsi="宋体" w:eastAsia="宋体" w:cstheme="minorEastAsia"/>
          <w:b/>
          <w:color w:val="000000"/>
          <w:kern w:val="0"/>
          <w:sz w:val="28"/>
          <w:szCs w:val="28"/>
        </w:rPr>
      </w:pPr>
      <w:r>
        <w:rPr>
          <w:rFonts w:ascii="宋体" w:hAnsi="宋体" w:eastAsia="宋体"/>
          <w:b/>
          <w:sz w:val="28"/>
          <w:szCs w:val="28"/>
        </w:rPr>
        <w:drawing>
          <wp:inline distT="0" distB="0" distL="0" distR="0">
            <wp:extent cx="5133975" cy="2284730"/>
            <wp:effectExtent l="0" t="0" r="9525" b="127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0"/>
                    <a:srcRect/>
                    <a:stretch>
                      <a:fillRect/>
                    </a:stretch>
                  </pic:blipFill>
                  <pic:spPr>
                    <a:xfrm>
                      <a:off x="0" y="0"/>
                      <a:ext cx="5133975" cy="2284730"/>
                    </a:xfrm>
                    <a:prstGeom prst="rect">
                      <a:avLst/>
                    </a:prstGeom>
                    <a:noFill/>
                  </pic:spPr>
                </pic:pic>
              </a:graphicData>
            </a:graphic>
          </wp:inline>
        </w:drawing>
      </w:r>
    </w:p>
    <w:p>
      <w:pPr>
        <w:widowControl/>
        <w:shd w:val="clear" w:color="auto" w:fill="FFFFFF"/>
        <w:spacing w:line="360" w:lineRule="auto"/>
        <w:jc w:val="center"/>
        <w:rPr>
          <w:rFonts w:ascii="Times New Roman" w:hAnsi="Times New Roman" w:cs="Times New Roman"/>
          <w:bCs/>
          <w:sz w:val="24"/>
          <w:szCs w:val="32"/>
        </w:rPr>
      </w:pPr>
      <w:r>
        <w:rPr>
          <w:rFonts w:hint="eastAsia" w:ascii="Times New Roman" w:hAnsi="Times New Roman" w:cs="Times New Roman"/>
          <w:bCs/>
          <w:sz w:val="24"/>
          <w:szCs w:val="32"/>
        </w:rPr>
        <w:t>图1-4  未来工程师ASci</w:t>
      </w:r>
      <w:r>
        <w:rPr>
          <w:rFonts w:ascii="Times New Roman" w:hAnsi="Times New Roman" w:cs="Times New Roman"/>
          <w:bCs/>
          <w:sz w:val="24"/>
          <w:szCs w:val="32"/>
        </w:rPr>
        <w:t>T</w:t>
      </w:r>
      <w:r>
        <w:rPr>
          <w:rFonts w:hint="eastAsia" w:ascii="Times New Roman" w:hAnsi="Times New Roman" w:cs="Times New Roman"/>
          <w:bCs/>
          <w:sz w:val="24"/>
          <w:szCs w:val="32"/>
        </w:rPr>
        <w:t>（爱科技）核心能力素养9要素</w:t>
      </w:r>
    </w:p>
    <w:p>
      <w:pPr>
        <w:adjustRightInd w:val="0"/>
        <w:snapToGrid w:val="0"/>
        <w:spacing w:line="360" w:lineRule="auto"/>
        <w:rPr>
          <w:rFonts w:ascii="宋体" w:hAnsi="宋体" w:eastAsia="宋体" w:cstheme="minorEastAsia"/>
          <w:b/>
          <w:color w:val="000000"/>
          <w:kern w:val="0"/>
          <w:sz w:val="28"/>
          <w:szCs w:val="28"/>
        </w:rPr>
      </w:pPr>
    </w:p>
    <w:p>
      <w:pPr>
        <w:adjustRightInd w:val="0"/>
        <w:snapToGrid w:val="0"/>
        <w:spacing w:line="360" w:lineRule="auto"/>
        <w:ind w:firstLine="548" w:firstLineChars="196"/>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2.立足学科专业特色，强化育人链与产业链的对接</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紧密结合材料、化工、香料等上海市高峰高原学科和ESI全球前1%的学科开展改革，系统挖掘梳理学科中蕴含的思政元素。与上海“美丽健康”产业、“上海制造”和“上海文化”品牌建设密切对接，围绕学校重点打造的香料香精化妆品和绿色化工、功能材料和智能制造、设计文创与营销管理等学科专业群建设领航学院、领航团队和领航课程，率先编制相关</w:t>
      </w:r>
      <w:r>
        <w:rPr>
          <w:rFonts w:ascii="宋体" w:hAnsi="宋体" w:eastAsia="宋体"/>
          <w:sz w:val="28"/>
          <w:szCs w:val="28"/>
        </w:rPr>
        <w:t>专业的</w:t>
      </w:r>
      <w:r>
        <w:rPr>
          <w:rFonts w:hint="eastAsia" w:ascii="宋体" w:hAnsi="宋体" w:eastAsia="宋体"/>
          <w:sz w:val="28"/>
          <w:szCs w:val="28"/>
        </w:rPr>
        <w:t>课程思政教学指南和教学规范。将课程思政作为深化产教融合、校企合作的重要内容，拓展行业企业参与课程思政的新模式、新渠道、新方法。</w:t>
      </w:r>
    </w:p>
    <w:p>
      <w:pPr>
        <w:adjustRightInd w:val="0"/>
        <w:snapToGrid w:val="0"/>
        <w:spacing w:line="360" w:lineRule="auto"/>
        <w:ind w:firstLine="548" w:firstLineChars="196"/>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3.加强制度建设，精准解决课程思政教学改革中的关键问题</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从校院两个层面加强教学管理、人事管理和考核评价等方面的制度建设，提升课程思政教学改革的系统性、科学性和规范性。将课程思政的制度建设与基于OBE理念的教学改革相结合，根据课程思政的要求完善培养目标、毕业要求、课程体系、教学内容和教学评价等人才培养主要环节的质量标准、操作规范和评价指标。在发挥好领航学院、领航团队和领航课程示范作用的同时，建立基于质量评价的反馈和持续改进机制。加强课程思政质量保障制度和教师培训制度之间的有效衔接，从根本上解决教师不会做、不主动做和不坚持做的问题。</w:t>
      </w:r>
    </w:p>
    <w:p>
      <w:pPr>
        <w:pStyle w:val="10"/>
        <w:adjustRightInd w:val="0"/>
        <w:snapToGrid w:val="0"/>
        <w:spacing w:before="0" w:beforeAutospacing="0" w:after="0" w:afterAutospacing="0" w:line="360" w:lineRule="auto"/>
        <w:ind w:firstLine="562" w:firstLineChars="200"/>
        <w:rPr>
          <w:b/>
          <w:sz w:val="28"/>
          <w:szCs w:val="28"/>
        </w:rPr>
      </w:pPr>
      <w:r>
        <w:rPr>
          <w:rFonts w:hint="eastAsia"/>
          <w:b/>
          <w:sz w:val="28"/>
          <w:szCs w:val="28"/>
        </w:rPr>
        <w:t>（二）实施</w:t>
      </w:r>
      <w:r>
        <w:rPr>
          <w:b/>
          <w:sz w:val="28"/>
          <w:szCs w:val="28"/>
        </w:rPr>
        <w:t>原则</w:t>
      </w:r>
    </w:p>
    <w:p>
      <w:pPr>
        <w:adjustRightInd w:val="0"/>
        <w:snapToGrid w:val="0"/>
        <w:spacing w:line="360" w:lineRule="auto"/>
        <w:ind w:firstLine="548" w:firstLineChars="196"/>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1.以道驭术：学术逻辑与需求逻辑相结合</w:t>
      </w:r>
    </w:p>
    <w:p>
      <w:pPr>
        <w:adjustRightInd w:val="0"/>
        <w:snapToGrid w:val="0"/>
        <w:spacing w:line="360" w:lineRule="auto"/>
        <w:ind w:firstLine="560" w:firstLineChars="200"/>
        <w:rPr>
          <w:rFonts w:ascii="宋体" w:hAnsi="宋体" w:eastAsia="宋体"/>
          <w:bCs/>
          <w:sz w:val="28"/>
          <w:szCs w:val="28"/>
        </w:rPr>
      </w:pPr>
      <w:r>
        <w:rPr>
          <w:rFonts w:hint="eastAsia" w:ascii="宋体" w:hAnsi="宋体" w:eastAsia="宋体"/>
          <w:bCs/>
          <w:sz w:val="28"/>
          <w:szCs w:val="28"/>
        </w:rPr>
        <w:t>坚持社会主义办学方向，坚持需求逻辑，根据学生成长成才的需求、时代的需求、社会的需求和培养社会主义合格接班人的需求，注重“术”“道”结合，以术入道，以道驭术，在学生高度认知、认同中引领正确的世界观、人生观和价值观，赋能教育教学，使之既专业又有生命力，实现“学术逻辑”与“需求逻辑”的完美结合。</w:t>
      </w:r>
    </w:p>
    <w:p>
      <w:pPr>
        <w:adjustRightInd w:val="0"/>
        <w:snapToGrid w:val="0"/>
        <w:spacing w:line="360" w:lineRule="auto"/>
        <w:ind w:firstLine="548" w:firstLineChars="196"/>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2.盐溶于汤：课程教学与专业育人相结合</w:t>
      </w:r>
    </w:p>
    <w:p>
      <w:pPr>
        <w:adjustRightInd w:val="0"/>
        <w:snapToGrid w:val="0"/>
        <w:spacing w:line="360" w:lineRule="auto"/>
        <w:ind w:firstLine="560" w:firstLineChars="200"/>
        <w:rPr>
          <w:rFonts w:ascii="宋体" w:hAnsi="宋体" w:eastAsia="宋体"/>
          <w:bCs/>
          <w:sz w:val="28"/>
          <w:szCs w:val="28"/>
        </w:rPr>
      </w:pPr>
      <w:r>
        <w:rPr>
          <w:rFonts w:hint="eastAsia" w:ascii="宋体" w:hAnsi="宋体" w:eastAsia="宋体"/>
          <w:bCs/>
          <w:sz w:val="28"/>
          <w:szCs w:val="28"/>
        </w:rPr>
        <w:t>针对不同的专业，找到最契合的点（首要是</w:t>
      </w:r>
      <w:r>
        <w:rPr>
          <w:rFonts w:ascii="宋体" w:hAnsi="宋体" w:eastAsia="宋体"/>
          <w:bCs/>
          <w:sz w:val="28"/>
          <w:szCs w:val="28"/>
        </w:rPr>
        <w:t>课程目标的设计</w:t>
      </w:r>
      <w:r>
        <w:rPr>
          <w:rFonts w:hint="eastAsia" w:ascii="宋体" w:hAnsi="宋体" w:eastAsia="宋体"/>
          <w:bCs/>
          <w:sz w:val="28"/>
          <w:szCs w:val="28"/>
        </w:rPr>
        <w:t>），把各门课程隐性存在的如同盐一样的正确价值观、育人元素，融入内涵如同一碗优质底汤的丰富专业课程，融入各专业的教育教学实践中，实现“专业育人”与“课程教学”目标的融通。</w:t>
      </w:r>
    </w:p>
    <w:p>
      <w:pPr>
        <w:adjustRightInd w:val="0"/>
        <w:snapToGrid w:val="0"/>
        <w:spacing w:line="360" w:lineRule="auto"/>
        <w:ind w:firstLine="548" w:firstLineChars="196"/>
        <w:rPr>
          <w:rFonts w:ascii="宋体" w:hAnsi="宋体" w:eastAsia="宋体" w:cstheme="minorEastAsia"/>
          <w:color w:val="000000"/>
          <w:kern w:val="0"/>
          <w:sz w:val="28"/>
          <w:szCs w:val="28"/>
        </w:rPr>
      </w:pPr>
      <w:r>
        <w:rPr>
          <w:rFonts w:ascii="宋体" w:hAnsi="宋体" w:eastAsia="宋体" w:cstheme="minorEastAsia"/>
          <w:color w:val="000000"/>
          <w:kern w:val="0"/>
          <w:sz w:val="28"/>
          <w:szCs w:val="28"/>
        </w:rPr>
        <w:t>3.</w:t>
      </w:r>
      <w:r>
        <w:rPr>
          <w:rFonts w:hint="eastAsia" w:ascii="宋体" w:hAnsi="宋体" w:eastAsia="宋体" w:cstheme="minorEastAsia"/>
          <w:color w:val="000000"/>
          <w:kern w:val="0"/>
          <w:sz w:val="28"/>
          <w:szCs w:val="28"/>
        </w:rPr>
        <w:t>守正创新：以理施教与以情优教相结合</w:t>
      </w:r>
    </w:p>
    <w:p>
      <w:pPr>
        <w:adjustRightInd w:val="0"/>
        <w:snapToGrid w:val="0"/>
        <w:spacing w:line="360" w:lineRule="auto"/>
        <w:ind w:firstLine="420" w:firstLineChars="150"/>
        <w:rPr>
          <w:rFonts w:ascii="宋体" w:hAnsi="宋体" w:eastAsia="宋体"/>
          <w:bCs/>
          <w:sz w:val="28"/>
          <w:szCs w:val="28"/>
        </w:rPr>
      </w:pPr>
      <w:r>
        <w:rPr>
          <w:rFonts w:hint="eastAsia" w:ascii="宋体" w:hAnsi="宋体" w:eastAsia="宋体"/>
          <w:bCs/>
          <w:sz w:val="28"/>
          <w:szCs w:val="28"/>
        </w:rPr>
        <w:t>“以理施教”与“以情优教”深度交融，体现课程的高阶性、创新性和挑战度的“两性一度”要求，不仅要把课堂教学内容的内在规律讲清楚，又要创新方法，借助教育信息技术，给学生更多的“视觉冲击力”，加深学生的理解，改善和提高教学效果，让课堂教学既有学术味，又有生动性和穿透力，以培养学生高阶思维能力、创新意识和解决复杂问题的能力。</w:t>
      </w:r>
    </w:p>
    <w:p>
      <w:pPr>
        <w:pStyle w:val="10"/>
        <w:adjustRightInd w:val="0"/>
        <w:snapToGrid w:val="0"/>
        <w:spacing w:before="0" w:beforeAutospacing="0" w:after="0" w:afterAutospacing="0" w:line="360" w:lineRule="auto"/>
        <w:ind w:firstLine="562" w:firstLineChars="200"/>
        <w:rPr>
          <w:b/>
          <w:sz w:val="28"/>
          <w:szCs w:val="28"/>
        </w:rPr>
      </w:pPr>
      <w:r>
        <w:rPr>
          <w:rFonts w:hint="eastAsia"/>
          <w:b/>
          <w:sz w:val="28"/>
          <w:szCs w:val="28"/>
        </w:rPr>
        <w:t>（三）重点</w:t>
      </w:r>
      <w:r>
        <w:rPr>
          <w:b/>
          <w:sz w:val="28"/>
          <w:szCs w:val="28"/>
        </w:rPr>
        <w:t>任务：</w:t>
      </w:r>
      <w:r>
        <w:rPr>
          <w:rFonts w:hint="eastAsia"/>
          <w:b/>
          <w:sz w:val="28"/>
          <w:szCs w:val="28"/>
        </w:rPr>
        <w:t>实施“课程思政”六大计划</w:t>
      </w:r>
    </w:p>
    <w:p>
      <w:pPr>
        <w:adjustRightInd w:val="0"/>
        <w:snapToGrid w:val="0"/>
        <w:spacing w:line="360" w:lineRule="auto"/>
        <w:ind w:firstLine="548" w:firstLineChars="196"/>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1.“金课”建设赋能计划</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充分</w:t>
      </w:r>
      <w:r>
        <w:rPr>
          <w:rFonts w:ascii="宋体" w:hAnsi="宋体" w:eastAsia="宋体"/>
          <w:sz w:val="28"/>
          <w:szCs w:val="28"/>
        </w:rPr>
        <w:t>发挥现代信息技术在课程教学改革中的融合，着力打造线上、线下、线上线下混合、</w:t>
      </w:r>
      <w:r>
        <w:rPr>
          <w:rFonts w:hint="eastAsia" w:ascii="宋体" w:hAnsi="宋体" w:eastAsia="宋体"/>
          <w:sz w:val="28"/>
          <w:szCs w:val="28"/>
        </w:rPr>
        <w:t>虚拟仿真</w:t>
      </w:r>
      <w:r>
        <w:rPr>
          <w:rFonts w:ascii="宋体" w:hAnsi="宋体" w:eastAsia="宋体"/>
          <w:sz w:val="28"/>
          <w:szCs w:val="28"/>
        </w:rPr>
        <w:t>和社会实践</w:t>
      </w:r>
      <w:r>
        <w:rPr>
          <w:rFonts w:hint="eastAsia" w:ascii="宋体" w:hAnsi="宋体" w:eastAsia="宋体"/>
          <w:sz w:val="28"/>
          <w:szCs w:val="28"/>
        </w:rPr>
        <w:t>等5类“上应</w:t>
      </w:r>
      <w:r>
        <w:rPr>
          <w:rFonts w:ascii="宋体" w:hAnsi="宋体" w:eastAsia="宋体"/>
          <w:sz w:val="28"/>
          <w:szCs w:val="28"/>
        </w:rPr>
        <w:t>金课</w:t>
      </w:r>
      <w:r>
        <w:rPr>
          <w:rFonts w:hint="eastAsia" w:ascii="宋体" w:hAnsi="宋体" w:eastAsia="宋体"/>
          <w:sz w:val="28"/>
          <w:szCs w:val="28"/>
        </w:rPr>
        <w:t>”，</w:t>
      </w:r>
      <w:r>
        <w:rPr>
          <w:rFonts w:ascii="宋体" w:hAnsi="宋体" w:eastAsia="宋体"/>
          <w:sz w:val="28"/>
          <w:szCs w:val="28"/>
        </w:rPr>
        <w:t>重点</w:t>
      </w:r>
      <w:r>
        <w:rPr>
          <w:rFonts w:hint="eastAsia" w:ascii="宋体" w:hAnsi="宋体" w:eastAsia="宋体"/>
          <w:sz w:val="28"/>
          <w:szCs w:val="28"/>
        </w:rPr>
        <w:t>支持课程思政在校企合作课程、跨学科课程和新工科课程等特色课程中的融入。</w:t>
      </w:r>
      <w:r>
        <w:rPr>
          <w:rFonts w:ascii="宋体" w:hAnsi="宋体" w:eastAsia="宋体"/>
          <w:sz w:val="28"/>
          <w:szCs w:val="28"/>
        </w:rPr>
        <w:t>依据</w:t>
      </w:r>
      <w:r>
        <w:rPr>
          <w:rFonts w:hint="eastAsia" w:ascii="宋体" w:hAnsi="宋体" w:eastAsia="宋体"/>
          <w:sz w:val="28"/>
          <w:szCs w:val="28"/>
        </w:rPr>
        <w:t>“课程思政</w:t>
      </w:r>
      <w:r>
        <w:rPr>
          <w:rFonts w:ascii="宋体" w:hAnsi="宋体" w:eastAsia="宋体"/>
          <w:sz w:val="28"/>
          <w:szCs w:val="28"/>
        </w:rPr>
        <w:t>赋能金课建设</w:t>
      </w:r>
      <w:r>
        <w:rPr>
          <w:rFonts w:hint="eastAsia" w:ascii="宋体" w:hAnsi="宋体" w:eastAsia="宋体"/>
          <w:sz w:val="28"/>
          <w:szCs w:val="28"/>
        </w:rPr>
        <w:t>”的教学改革</w:t>
      </w:r>
      <w:r>
        <w:rPr>
          <w:rFonts w:ascii="宋体" w:hAnsi="宋体" w:eastAsia="宋体"/>
          <w:sz w:val="28"/>
          <w:szCs w:val="28"/>
        </w:rPr>
        <w:t>理念，</w:t>
      </w:r>
      <w:r>
        <w:rPr>
          <w:rFonts w:hint="eastAsia" w:ascii="宋体" w:hAnsi="宋体" w:eastAsia="宋体"/>
          <w:sz w:val="28"/>
          <w:szCs w:val="28"/>
        </w:rPr>
        <w:t>要求</w:t>
      </w:r>
      <w:r>
        <w:rPr>
          <w:rFonts w:ascii="宋体" w:hAnsi="宋体" w:eastAsia="宋体"/>
          <w:sz w:val="28"/>
          <w:szCs w:val="28"/>
        </w:rPr>
        <w:t>各类课程</w:t>
      </w:r>
      <w:r>
        <w:rPr>
          <w:rFonts w:hint="eastAsia" w:ascii="宋体" w:hAnsi="宋体" w:eastAsia="宋体"/>
          <w:sz w:val="28"/>
          <w:szCs w:val="28"/>
        </w:rPr>
        <w:t>对标“金课”建设的“两性一度”标准，将课程思政教学改革与学生的创新意识</w:t>
      </w:r>
      <w:r>
        <w:rPr>
          <w:rFonts w:ascii="宋体" w:hAnsi="宋体" w:eastAsia="宋体"/>
          <w:sz w:val="28"/>
          <w:szCs w:val="28"/>
        </w:rPr>
        <w:t>、科学思维等</w:t>
      </w:r>
      <w:r>
        <w:rPr>
          <w:rFonts w:hint="eastAsia" w:ascii="宋体" w:hAnsi="宋体" w:eastAsia="宋体"/>
          <w:sz w:val="28"/>
          <w:szCs w:val="28"/>
        </w:rPr>
        <w:t>高阶能力培养相结合，与开展“以</w:t>
      </w:r>
      <w:r>
        <w:rPr>
          <w:rFonts w:ascii="宋体" w:hAnsi="宋体" w:eastAsia="宋体"/>
          <w:sz w:val="28"/>
          <w:szCs w:val="28"/>
        </w:rPr>
        <w:t>学生为中心</w:t>
      </w:r>
      <w:r>
        <w:rPr>
          <w:rFonts w:hint="eastAsia" w:ascii="宋体" w:hAnsi="宋体" w:eastAsia="宋体"/>
          <w:sz w:val="28"/>
          <w:szCs w:val="28"/>
        </w:rPr>
        <w:t>”的</w:t>
      </w:r>
      <w:r>
        <w:rPr>
          <w:rFonts w:ascii="宋体" w:hAnsi="宋体" w:eastAsia="宋体"/>
          <w:sz w:val="28"/>
          <w:szCs w:val="28"/>
        </w:rPr>
        <w:t>教学改革</w:t>
      </w:r>
      <w:r>
        <w:rPr>
          <w:rFonts w:hint="eastAsia" w:ascii="宋体" w:hAnsi="宋体" w:eastAsia="宋体"/>
          <w:sz w:val="28"/>
          <w:szCs w:val="28"/>
        </w:rPr>
        <w:t>相结合。在教学中倡导“教师主导、学生主体”的师生关系，引导学生自主挖掘、内化学科专业育人元素</w:t>
      </w:r>
      <w:r>
        <w:rPr>
          <w:rFonts w:ascii="宋体" w:hAnsi="宋体" w:eastAsia="宋体"/>
          <w:sz w:val="28"/>
          <w:szCs w:val="28"/>
        </w:rPr>
        <w:t>相</w:t>
      </w:r>
      <w:r>
        <w:rPr>
          <w:rFonts w:hint="eastAsia" w:ascii="宋体" w:hAnsi="宋体" w:eastAsia="宋体"/>
          <w:sz w:val="28"/>
          <w:szCs w:val="28"/>
        </w:rPr>
        <w:t>。以学生在政治觉悟、价值取向、品德修为、文化素养和社会责任等方面所应获得的成果为依据进行精心设计，采用混合式教学、项目驱动式教学、企业现场教学等多种教学方式与教学手段。不仅关注教师教了什么，增加了哪些思政元素和教学内容，更要关注学生获得了什么，在促进学生发展方面的达成度如何。</w:t>
      </w:r>
    </w:p>
    <w:p>
      <w:pPr>
        <w:widowControl/>
        <w:shd w:val="clear" w:color="auto" w:fill="FFFFFF"/>
        <w:spacing w:line="360" w:lineRule="auto"/>
        <w:jc w:val="center"/>
        <w:rPr>
          <w:rFonts w:ascii="Times New Roman" w:hAnsi="Times New Roman" w:cs="Times New Roman"/>
          <w:bCs/>
          <w:sz w:val="24"/>
          <w:szCs w:val="32"/>
        </w:rPr>
      </w:pPr>
      <w:r>
        <w:rPr>
          <w:rFonts w:hint="eastAsia" w:ascii="Times New Roman" w:hAnsi="Times New Roman" w:cs="Times New Roman"/>
          <w:bCs/>
          <w:sz w:val="24"/>
          <w:szCs w:val="32"/>
        </w:rPr>
        <w:t>表1-1  《园林工程</w:t>
      </w:r>
      <w:r>
        <w:rPr>
          <w:rFonts w:ascii="Times New Roman" w:hAnsi="Times New Roman" w:cs="Times New Roman"/>
          <w:bCs/>
          <w:sz w:val="24"/>
          <w:szCs w:val="32"/>
        </w:rPr>
        <w:t>实践</w:t>
      </w:r>
      <w:r>
        <w:rPr>
          <w:rFonts w:hint="eastAsia" w:ascii="Times New Roman" w:hAnsi="Times New Roman" w:cs="Times New Roman"/>
          <w:bCs/>
          <w:sz w:val="24"/>
          <w:szCs w:val="32"/>
        </w:rPr>
        <w:t>》课程思政</w:t>
      </w:r>
      <w:r>
        <w:rPr>
          <w:rFonts w:ascii="Times New Roman" w:hAnsi="Times New Roman" w:cs="Times New Roman"/>
          <w:bCs/>
          <w:sz w:val="24"/>
          <w:szCs w:val="32"/>
        </w:rPr>
        <w:t>中的</w:t>
      </w:r>
      <w:r>
        <w:rPr>
          <w:rFonts w:hint="eastAsia" w:ascii="Times New Roman" w:hAnsi="Times New Roman" w:cs="Times New Roman"/>
          <w:bCs/>
          <w:sz w:val="24"/>
          <w:szCs w:val="32"/>
        </w:rPr>
        <w:t>“两性一度”</w:t>
      </w:r>
    </w:p>
    <w:tbl>
      <w:tblPr>
        <w:tblStyle w:val="12"/>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675" w:type="dxa"/>
            <w:vAlign w:val="center"/>
          </w:tcPr>
          <w:p>
            <w:pPr>
              <w:widowControl/>
              <w:shd w:val="clear" w:color="auto" w:fill="FFFFFF"/>
              <w:spacing w:line="360" w:lineRule="auto"/>
              <w:jc w:val="center"/>
              <w:rPr>
                <w:rFonts w:ascii="Times New Roman" w:hAnsi="Times New Roman" w:cs="Times New Roman"/>
                <w:bCs/>
                <w:sz w:val="24"/>
                <w:szCs w:val="32"/>
              </w:rPr>
            </w:pPr>
            <w:r>
              <w:rPr>
                <w:rFonts w:ascii="Times New Roman" w:hAnsi="Times New Roman" w:cs="Times New Roman"/>
                <w:bCs/>
                <w:sz w:val="24"/>
                <w:szCs w:val="32"/>
              </w:rPr>
              <w:t>高阶性</w:t>
            </w:r>
          </w:p>
        </w:tc>
        <w:tc>
          <w:tcPr>
            <w:tcW w:w="7655" w:type="dxa"/>
            <w:vAlign w:val="center"/>
          </w:tcPr>
          <w:p>
            <w:pPr>
              <w:widowControl/>
              <w:shd w:val="clear" w:color="auto" w:fill="FFFFFF"/>
              <w:snapToGrid w:val="0"/>
              <w:spacing w:line="360" w:lineRule="auto"/>
              <w:jc w:val="left"/>
              <w:rPr>
                <w:rFonts w:ascii="Times New Roman" w:hAnsi="Times New Roman" w:cs="Times New Roman"/>
                <w:bCs/>
                <w:sz w:val="24"/>
                <w:szCs w:val="32"/>
              </w:rPr>
            </w:pPr>
            <w:r>
              <w:rPr>
                <w:rFonts w:ascii="Times New Roman" w:hAnsi="Times New Roman" w:cs="Times New Roman"/>
                <w:bCs/>
                <w:sz w:val="24"/>
                <w:szCs w:val="32"/>
              </w:rPr>
              <w:t>运用一个实际项目，要求学生进行创意构思、规划设计、植物配置、施工营建等环节的学习与实践，融合了风景园林专业的多门核心课程知识。这要求学生不能单纯进行图纸绘制，而是在创意</w:t>
            </w:r>
            <w:r>
              <w:rPr>
                <w:rFonts w:hint="eastAsia" w:ascii="Times New Roman" w:hAnsi="Times New Roman" w:cs="Times New Roman"/>
                <w:bCs/>
                <w:sz w:val="24"/>
                <w:szCs w:val="32"/>
              </w:rPr>
              <w:t>-</w:t>
            </w:r>
            <w:r>
              <w:rPr>
                <w:rFonts w:ascii="Times New Roman" w:hAnsi="Times New Roman" w:cs="Times New Roman"/>
                <w:bCs/>
                <w:sz w:val="24"/>
                <w:szCs w:val="32"/>
              </w:rPr>
              <w:t>-图纸</w:t>
            </w:r>
            <w:r>
              <w:rPr>
                <w:rFonts w:hint="eastAsia" w:ascii="Times New Roman" w:hAnsi="Times New Roman" w:cs="Times New Roman"/>
                <w:bCs/>
                <w:sz w:val="24"/>
                <w:szCs w:val="32"/>
              </w:rPr>
              <w:t>-</w:t>
            </w:r>
            <w:r>
              <w:rPr>
                <w:rFonts w:ascii="Times New Roman" w:hAnsi="Times New Roman" w:cs="Times New Roman"/>
                <w:bCs/>
                <w:sz w:val="24"/>
                <w:szCs w:val="32"/>
              </w:rPr>
              <w:t>-建造--养护这个全过程中，培养解决具体问题和复杂问题的能力、培养解决综合问题的应变能力、培养创造性的高级思维能力。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675" w:type="dxa"/>
            <w:vAlign w:val="center"/>
          </w:tcPr>
          <w:p>
            <w:pPr>
              <w:widowControl/>
              <w:shd w:val="clear" w:color="auto" w:fill="FFFFFF"/>
              <w:spacing w:line="360" w:lineRule="auto"/>
              <w:jc w:val="center"/>
              <w:rPr>
                <w:rFonts w:ascii="Times New Roman" w:hAnsi="Times New Roman" w:cs="Times New Roman"/>
                <w:bCs/>
                <w:sz w:val="24"/>
                <w:szCs w:val="32"/>
              </w:rPr>
            </w:pPr>
            <w:r>
              <w:rPr>
                <w:rFonts w:ascii="Times New Roman" w:hAnsi="Times New Roman" w:cs="Times New Roman"/>
                <w:bCs/>
                <w:sz w:val="24"/>
                <w:szCs w:val="32"/>
              </w:rPr>
              <w:t>创新性</w:t>
            </w:r>
          </w:p>
        </w:tc>
        <w:tc>
          <w:tcPr>
            <w:tcW w:w="7655" w:type="dxa"/>
            <w:vAlign w:val="center"/>
          </w:tcPr>
          <w:p>
            <w:pPr>
              <w:widowControl/>
              <w:shd w:val="clear" w:color="auto" w:fill="FFFFFF"/>
              <w:snapToGrid w:val="0"/>
              <w:spacing w:line="360" w:lineRule="auto"/>
              <w:jc w:val="left"/>
              <w:rPr>
                <w:rFonts w:ascii="Times New Roman" w:hAnsi="Times New Roman" w:cs="Times New Roman"/>
                <w:bCs/>
                <w:sz w:val="24"/>
                <w:szCs w:val="32"/>
              </w:rPr>
            </w:pPr>
            <w:r>
              <w:rPr>
                <w:rFonts w:ascii="Times New Roman" w:hAnsi="Times New Roman" w:cs="Times New Roman"/>
                <w:bCs/>
                <w:sz w:val="24"/>
                <w:szCs w:val="32"/>
              </w:rPr>
              <w:t>课程以“生态文明建设”为目标</w:t>
            </w:r>
            <w:r>
              <w:rPr>
                <w:rFonts w:hint="eastAsia" w:ascii="Times New Roman" w:hAnsi="Times New Roman" w:cs="Times New Roman"/>
                <w:bCs/>
                <w:sz w:val="24"/>
                <w:szCs w:val="32"/>
              </w:rPr>
              <w:t>，引入</w:t>
            </w:r>
            <w:r>
              <w:rPr>
                <w:rFonts w:ascii="Times New Roman" w:hAnsi="Times New Roman" w:cs="Times New Roman"/>
                <w:bCs/>
                <w:sz w:val="24"/>
                <w:szCs w:val="32"/>
              </w:rPr>
              <w:t>最新的生态技术，启发</w:t>
            </w:r>
            <w:r>
              <w:rPr>
                <w:rFonts w:hint="eastAsia" w:ascii="Times New Roman" w:hAnsi="Times New Roman" w:cs="Times New Roman"/>
                <w:bCs/>
                <w:sz w:val="24"/>
                <w:szCs w:val="32"/>
              </w:rPr>
              <w:t>学生</w:t>
            </w:r>
            <w:r>
              <w:rPr>
                <w:rFonts w:ascii="Times New Roman" w:hAnsi="Times New Roman" w:cs="Times New Roman"/>
                <w:bCs/>
                <w:sz w:val="24"/>
                <w:szCs w:val="32"/>
              </w:rPr>
              <w:t>对于社会问题进行深入思考与剖析。以课堂讲述、互动讨论、方案评审、市场调研、场地踏勘等方式，充分调动学生的自我学习以及解决问题的能力。在作品成果评价以及学习结果点评中，强调每位学生都需要充分发挥了自身的特质，</w:t>
            </w:r>
            <w:r>
              <w:rPr>
                <w:rFonts w:hint="eastAsia" w:ascii="Times New Roman" w:hAnsi="Times New Roman" w:cs="Times New Roman"/>
                <w:bCs/>
                <w:sz w:val="24"/>
                <w:szCs w:val="32"/>
              </w:rPr>
              <w:t>注重</w:t>
            </w:r>
            <w:r>
              <w:rPr>
                <w:rFonts w:ascii="Times New Roman" w:hAnsi="Times New Roman" w:cs="Times New Roman"/>
                <w:bCs/>
                <w:sz w:val="24"/>
                <w:szCs w:val="32"/>
              </w:rPr>
              <w:t>各个作品所体现的创意</w:t>
            </w:r>
            <w:r>
              <w:rPr>
                <w:rFonts w:hint="eastAsia" w:ascii="Times New Roman" w:hAnsi="Times New Roman" w:cs="Times New Roman"/>
                <w:bCs/>
                <w:sz w:val="24"/>
                <w:szCs w:val="32"/>
              </w:rPr>
              <w:t>和育德</w:t>
            </w:r>
            <w:r>
              <w:rPr>
                <w:rFonts w:ascii="Times New Roman" w:hAnsi="Times New Roman" w:cs="Times New Roman"/>
                <w:bCs/>
                <w:sz w:val="24"/>
                <w:szCs w:val="32"/>
              </w:rPr>
              <w:t>要素，成果具有探究性和个性化。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675" w:type="dxa"/>
            <w:vAlign w:val="center"/>
          </w:tcPr>
          <w:p>
            <w:pPr>
              <w:widowControl/>
              <w:shd w:val="clear" w:color="auto" w:fill="FFFFFF"/>
              <w:snapToGrid w:val="0"/>
              <w:spacing w:line="360" w:lineRule="auto"/>
              <w:jc w:val="left"/>
              <w:rPr>
                <w:rFonts w:ascii="Times New Roman" w:hAnsi="Times New Roman" w:cs="Times New Roman"/>
                <w:bCs/>
                <w:sz w:val="24"/>
                <w:szCs w:val="32"/>
              </w:rPr>
            </w:pPr>
            <w:r>
              <w:rPr>
                <w:rFonts w:ascii="Times New Roman" w:hAnsi="Times New Roman" w:cs="Times New Roman"/>
                <w:bCs/>
                <w:sz w:val="24"/>
                <w:szCs w:val="32"/>
              </w:rPr>
              <w:t>挑战度</w:t>
            </w:r>
          </w:p>
        </w:tc>
        <w:tc>
          <w:tcPr>
            <w:tcW w:w="7655" w:type="dxa"/>
            <w:vAlign w:val="center"/>
          </w:tcPr>
          <w:p>
            <w:pPr>
              <w:widowControl/>
              <w:shd w:val="clear" w:color="auto" w:fill="FFFFFF"/>
              <w:snapToGrid w:val="0"/>
              <w:spacing w:line="360" w:lineRule="auto"/>
              <w:jc w:val="left"/>
              <w:rPr>
                <w:rFonts w:ascii="Times New Roman" w:hAnsi="Times New Roman" w:cs="Times New Roman"/>
                <w:bCs/>
                <w:sz w:val="24"/>
                <w:szCs w:val="32"/>
              </w:rPr>
            </w:pPr>
            <w:r>
              <w:rPr>
                <w:rFonts w:ascii="Times New Roman" w:hAnsi="Times New Roman" w:cs="Times New Roman"/>
                <w:bCs/>
                <w:sz w:val="24"/>
                <w:szCs w:val="32"/>
              </w:rPr>
              <w:t>围绕</w:t>
            </w:r>
            <w:r>
              <w:rPr>
                <w:rFonts w:hint="eastAsia" w:ascii="Times New Roman" w:hAnsi="Times New Roman" w:cs="Times New Roman"/>
                <w:bCs/>
                <w:sz w:val="24"/>
                <w:szCs w:val="32"/>
              </w:rPr>
              <w:t>“</w:t>
            </w:r>
            <w:r>
              <w:rPr>
                <w:rFonts w:ascii="Times New Roman" w:hAnsi="Times New Roman" w:cs="Times New Roman"/>
                <w:bCs/>
                <w:sz w:val="24"/>
                <w:szCs w:val="32"/>
              </w:rPr>
              <w:t>EPC</w:t>
            </w:r>
            <w:r>
              <w:rPr>
                <w:rFonts w:hint="eastAsia" w:ascii="Times New Roman" w:hAnsi="Times New Roman" w:cs="Times New Roman"/>
                <w:bCs/>
                <w:sz w:val="24"/>
                <w:szCs w:val="32"/>
              </w:rPr>
              <w:t>”</w:t>
            </w:r>
            <w:r>
              <w:rPr>
                <w:rFonts w:ascii="Times New Roman" w:hAnsi="Times New Roman" w:cs="Times New Roman"/>
                <w:bCs/>
                <w:sz w:val="24"/>
                <w:szCs w:val="32"/>
              </w:rPr>
              <w:t>人才培养模式，通过导入育德元素进行全过程评估，为学生创造一个模拟真实工程全过程的课程体验，在整个教学过程中给学生传承工程技艺、精益求精、砥砺知行、艺术审美的精神启迪。</w:t>
            </w:r>
          </w:p>
        </w:tc>
      </w:tr>
    </w:tbl>
    <w:p>
      <w:pPr>
        <w:adjustRightInd w:val="0"/>
        <w:snapToGrid w:val="0"/>
        <w:spacing w:line="360" w:lineRule="auto"/>
        <w:ind w:firstLine="413" w:firstLineChars="147"/>
        <w:rPr>
          <w:rFonts w:ascii="宋体" w:hAnsi="宋体" w:eastAsia="宋体" w:cstheme="minorEastAsia"/>
          <w:b/>
          <w:color w:val="000000"/>
          <w:kern w:val="0"/>
          <w:sz w:val="28"/>
          <w:szCs w:val="28"/>
        </w:rPr>
      </w:pPr>
    </w:p>
    <w:p>
      <w:pPr>
        <w:adjustRightInd w:val="0"/>
        <w:snapToGrid w:val="0"/>
        <w:spacing w:line="360" w:lineRule="auto"/>
        <w:ind w:firstLine="411" w:firstLineChars="147"/>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2.专业文化育人计划</w:t>
      </w:r>
    </w:p>
    <w:p>
      <w:pPr>
        <w:adjustRightInd w:val="0"/>
        <w:snapToGrid w:val="0"/>
        <w:spacing w:line="360" w:lineRule="auto"/>
        <w:ind w:firstLine="420" w:firstLineChars="150"/>
        <w:rPr>
          <w:rFonts w:ascii="宋体" w:hAnsi="宋体" w:eastAsia="宋体" w:cs="仿宋"/>
          <w:sz w:val="28"/>
          <w:szCs w:val="28"/>
        </w:rPr>
      </w:pPr>
      <w:r>
        <w:rPr>
          <w:rFonts w:hint="eastAsia" w:ascii="宋体" w:hAnsi="宋体" w:eastAsia="宋体"/>
          <w:sz w:val="28"/>
          <w:szCs w:val="28"/>
        </w:rPr>
        <w:t>以“文化厚德，精技强国”为主题，持续开展“时代·应用”</w:t>
      </w:r>
      <w:r>
        <w:rPr>
          <w:rFonts w:hint="eastAsia" w:ascii="宋体" w:hAnsi="宋体" w:eastAsia="宋体" w:cs="仿宋"/>
          <w:sz w:val="28"/>
          <w:szCs w:val="28"/>
        </w:rPr>
        <w:t>专业文化育人计划，让学生自己凝练专业精神，讲述专业故事，将其打造为推动第一、二、三课堂联动育人的品牌活动。专业文化育人计划包含新生宣讲（学院、专业）、主题展示（校内）、走进社区（校外）三个相互衔接的阶段。</w:t>
      </w:r>
    </w:p>
    <w:p>
      <w:pPr>
        <w:adjustRightInd w:val="0"/>
        <w:snapToGrid w:val="0"/>
        <w:spacing w:line="360" w:lineRule="auto"/>
        <w:ind w:firstLine="560" w:firstLineChars="200"/>
        <w:rPr>
          <w:rFonts w:ascii="宋体" w:hAnsi="宋体" w:eastAsia="宋体" w:cs="仿宋"/>
          <w:sz w:val="28"/>
          <w:szCs w:val="28"/>
        </w:rPr>
      </w:pPr>
      <w:r>
        <w:rPr>
          <w:rFonts w:hint="eastAsia" w:ascii="宋体" w:hAnsi="宋体" w:eastAsia="宋体"/>
          <w:sz w:val="28"/>
          <w:szCs w:val="28"/>
        </w:rPr>
        <w:t>通过宣讲“应用技术”故事，用大学生喜闻乐见的方式，从专业的历史脉络、时代命题、未来前景中，挖掘凝练专业中蕴含的核心价值和德育资源，讲述专业、解读专业，促进“专业思政”和“课程思政”的有机结合，实现专业文化育人和课程思政教育的“精准滴灌”。此外，</w:t>
      </w:r>
      <w:r>
        <w:rPr>
          <w:rFonts w:hint="eastAsia" w:ascii="宋体" w:hAnsi="宋体" w:eastAsia="宋体" w:cs="仿宋"/>
          <w:sz w:val="28"/>
          <w:szCs w:val="28"/>
        </w:rPr>
        <w:t>编制《大学生思想政治教育体系化工作指南》，从理想信念教育、爱国主义教育、公民道德教育以及综合素质教育等方面确定大学各学段的目标任务与途径，为各专业开展文化育人活动提供支撑。</w:t>
      </w:r>
    </w:p>
    <w:p>
      <w:pPr>
        <w:adjustRightInd w:val="0"/>
        <w:snapToGrid w:val="0"/>
        <w:spacing w:line="360" w:lineRule="auto"/>
        <w:ind w:firstLine="548" w:firstLineChars="196"/>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3.学院内生动力提升计划</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学校将激活学院开展课程思政教学改革的内生动力，作为建立上下贯通、多元参与的运行机制的关键一环，明确二级学院在课程思政教学改革中的具体责任。从课程思政</w:t>
      </w:r>
      <w:r>
        <w:rPr>
          <w:rFonts w:ascii="宋体" w:hAnsi="宋体" w:eastAsia="宋体"/>
          <w:sz w:val="28"/>
          <w:szCs w:val="28"/>
        </w:rPr>
        <w:t>的过程与效果两个维度完善考核指标和相应的观测点，</w:t>
      </w:r>
      <w:r>
        <w:rPr>
          <w:rFonts w:hint="eastAsia" w:ascii="宋体" w:hAnsi="宋体" w:eastAsia="宋体"/>
          <w:sz w:val="28"/>
          <w:szCs w:val="28"/>
        </w:rPr>
        <w:t>将二级学院实施课程思政教学改革的过程与成效纳入学院的年度工作重大执行力考核，将考核结果与绩效经费的划拨相挂钩。</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将学院内的各专业作为建设领航团队，组织建设领航课程的基本单元。通过</w:t>
      </w:r>
      <w:r>
        <w:rPr>
          <w:rFonts w:ascii="宋体" w:hAnsi="宋体" w:eastAsia="宋体"/>
          <w:sz w:val="28"/>
          <w:szCs w:val="28"/>
        </w:rPr>
        <w:t>完善人才培养各环节的质量标准，</w:t>
      </w:r>
      <w:r>
        <w:rPr>
          <w:rFonts w:hint="eastAsia" w:ascii="宋体" w:hAnsi="宋体" w:eastAsia="宋体"/>
          <w:sz w:val="28"/>
          <w:szCs w:val="28"/>
        </w:rPr>
        <w:t>增强专业在内涵建设中开展课程思政教学改革的主动性和自觉性。引导专业立足应用型高校的人才培养特色，将实施课程思政与满足行业企业对应用型人才的“非专业能力”要求相结合，真正能够将课程思政的内涵要求融入到制定培养目标、设计课程体系和完善教学内容等专业基本工作当中。在专业评估和发布专业年度质量报告中，加强对课程思政工作实施情况的评价，使专业内的各门课程思想政治教育功能融入全流程、全要素可查可督，及时宣传表彰、督促整改。</w:t>
      </w:r>
    </w:p>
    <w:p>
      <w:pPr>
        <w:adjustRightInd w:val="0"/>
        <w:snapToGrid w:val="0"/>
        <w:spacing w:line="360" w:lineRule="auto"/>
        <w:ind w:firstLine="548" w:firstLineChars="196"/>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4.教师育德意识及育德能力提升计划</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cstheme="minorEastAsia"/>
          <w:color w:val="000000"/>
          <w:kern w:val="0"/>
          <w:sz w:val="28"/>
          <w:szCs w:val="28"/>
        </w:rPr>
        <w:t>一是严把入口关，夯实育德意识基础。</w:t>
      </w:r>
      <w:r>
        <w:rPr>
          <w:rFonts w:hint="eastAsia" w:ascii="宋体" w:hAnsi="宋体" w:eastAsia="宋体"/>
          <w:sz w:val="28"/>
          <w:szCs w:val="28"/>
        </w:rPr>
        <w:t>将新进教师的思想品德作为首要考察标准。通过人才引进推荐人、学院以及学校“三位一体”地考察新进教师的育德意识，同时也借助于专业网络测试、第三方评价等机制，来提高教师职业定位、职业信仰以及职业认同感。</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cstheme="minorEastAsia"/>
          <w:color w:val="000000"/>
          <w:kern w:val="0"/>
          <w:sz w:val="28"/>
          <w:szCs w:val="28"/>
        </w:rPr>
        <w:t>二是强化教师培训，提升育德能力水平。第一，日常学习培训，提高教师思政素养。</w:t>
      </w:r>
      <w:r>
        <w:rPr>
          <w:rFonts w:hint="eastAsia" w:ascii="宋体" w:hAnsi="宋体" w:eastAsia="宋体"/>
          <w:sz w:val="28"/>
          <w:szCs w:val="28"/>
        </w:rPr>
        <w:t>定期组织学习近平新时代中国特色社会主义思想，定期召开明德讲坛。</w:t>
      </w:r>
      <w:r>
        <w:rPr>
          <w:rFonts w:hint="eastAsia" w:ascii="宋体" w:hAnsi="宋体" w:eastAsia="宋体" w:cstheme="minorEastAsia"/>
          <w:color w:val="000000"/>
          <w:kern w:val="0"/>
          <w:sz w:val="28"/>
          <w:szCs w:val="28"/>
        </w:rPr>
        <w:t>第二，教育教学能力培训，提升课程思政能力。</w:t>
      </w:r>
      <w:r>
        <w:rPr>
          <w:rFonts w:hint="eastAsia" w:ascii="宋体" w:hAnsi="宋体" w:eastAsia="宋体"/>
          <w:sz w:val="28"/>
          <w:szCs w:val="28"/>
        </w:rPr>
        <w:t>定期开展教师沙龙，邀请课程思政名师进行现场展示讲座；定期召开课程思政课堂示范，邀请课程思政专家教师进课堂；定期举行新上岗教师培训，将课程思政元素融入教师系列培训活动。</w:t>
      </w:r>
      <w:r>
        <w:rPr>
          <w:rFonts w:hint="eastAsia" w:ascii="宋体" w:hAnsi="宋体" w:eastAsia="宋体" w:cstheme="minorEastAsia"/>
          <w:color w:val="000000"/>
          <w:kern w:val="0"/>
          <w:sz w:val="28"/>
          <w:szCs w:val="28"/>
        </w:rPr>
        <w:t>第三，持续开展“中青年教师教学能力建设计划” “中青年教师博士进修计划”“中青年教师国外访学进修计划” “青年骨干教师国内访学进修计划”、“教师产学研践习计划”和“实验技术队伍建设计划”六大工程，</w:t>
      </w:r>
      <w:r>
        <w:rPr>
          <w:rFonts w:hint="eastAsia" w:ascii="宋体" w:hAnsi="宋体" w:eastAsia="宋体"/>
          <w:sz w:val="28"/>
          <w:szCs w:val="28"/>
        </w:rPr>
        <w:t>夯实教师发展新六大工程的职业能力素养，从而提升教师育德水平。</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cstheme="minorEastAsia"/>
          <w:color w:val="000000"/>
          <w:kern w:val="0"/>
          <w:sz w:val="28"/>
          <w:szCs w:val="28"/>
        </w:rPr>
        <w:t>三是强化考核，突出育德意识和育德能力成效</w:t>
      </w:r>
      <w:r>
        <w:rPr>
          <w:rFonts w:hint="eastAsia" w:ascii="宋体" w:hAnsi="宋体" w:eastAsia="宋体"/>
          <w:b/>
          <w:sz w:val="28"/>
          <w:szCs w:val="28"/>
        </w:rPr>
        <w:t>。</w:t>
      </w:r>
      <w:r>
        <w:rPr>
          <w:rFonts w:hint="eastAsia" w:ascii="宋体" w:hAnsi="宋体" w:eastAsia="宋体"/>
          <w:sz w:val="28"/>
          <w:szCs w:val="28"/>
        </w:rPr>
        <w:t>将教师思想品德作为教师职称晋升的观测点，实行一票否决制。在人才引进、课题申报、职称评审、导师遴选、评先评优等评聘与考核环节，将教师思想品德、育德意识以及育德能力作为首要条件。注重应用型教师的公共服务意识培养，在考评考核中对具有公共服务意识的教师进行政策倾斜，如开设社会服务与应用型推广型系列职称、教授团队成员考核等。</w:t>
      </w:r>
    </w:p>
    <w:p>
      <w:pPr>
        <w:adjustRightInd w:val="0"/>
        <w:snapToGrid w:val="0"/>
        <w:spacing w:line="360" w:lineRule="auto"/>
        <w:ind w:firstLine="546" w:firstLineChars="195"/>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5.产教融合计划</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将产教融合、校企合作作为深入推进课程思政教学改革的重要载体，让企业成为课程思政教学改革的参与者、思政育人资源的建设者和培育效果的评价者。</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cstheme="minorEastAsia"/>
          <w:color w:val="000000"/>
          <w:kern w:val="0"/>
          <w:sz w:val="28"/>
          <w:szCs w:val="28"/>
        </w:rPr>
        <w:t>一是推行“学校</w:t>
      </w:r>
      <w:r>
        <w:rPr>
          <w:rFonts w:ascii="宋体" w:hAnsi="宋体" w:eastAsia="宋体" w:cstheme="minorEastAsia"/>
          <w:color w:val="000000"/>
          <w:kern w:val="0"/>
          <w:sz w:val="28"/>
          <w:szCs w:val="28"/>
        </w:rPr>
        <w:t>+企业</w:t>
      </w:r>
      <w:r>
        <w:rPr>
          <w:rFonts w:hint="eastAsia" w:ascii="宋体" w:hAnsi="宋体" w:eastAsia="宋体" w:cstheme="minorEastAsia"/>
          <w:color w:val="000000"/>
          <w:kern w:val="0"/>
          <w:sz w:val="28"/>
          <w:szCs w:val="28"/>
        </w:rPr>
        <w:t>”的课程思政</w:t>
      </w:r>
      <w:r>
        <w:rPr>
          <w:rFonts w:ascii="宋体" w:hAnsi="宋体" w:eastAsia="宋体" w:cstheme="minorEastAsia"/>
          <w:color w:val="000000"/>
          <w:kern w:val="0"/>
          <w:sz w:val="28"/>
          <w:szCs w:val="28"/>
        </w:rPr>
        <w:t>双</w:t>
      </w:r>
      <w:r>
        <w:rPr>
          <w:rFonts w:hint="eastAsia" w:ascii="宋体" w:hAnsi="宋体" w:eastAsia="宋体" w:cstheme="minorEastAsia"/>
          <w:color w:val="000000"/>
          <w:kern w:val="0"/>
          <w:sz w:val="28"/>
          <w:szCs w:val="28"/>
        </w:rPr>
        <w:t>主体，建设</w:t>
      </w:r>
      <w:r>
        <w:rPr>
          <w:rFonts w:ascii="宋体" w:hAnsi="宋体" w:eastAsia="宋体" w:cstheme="minorEastAsia"/>
          <w:color w:val="000000"/>
          <w:kern w:val="0"/>
          <w:sz w:val="28"/>
          <w:szCs w:val="28"/>
        </w:rPr>
        <w:t>一批</w:t>
      </w:r>
      <w:r>
        <w:rPr>
          <w:rFonts w:hint="eastAsia" w:ascii="宋体" w:hAnsi="宋体" w:eastAsia="宋体" w:cstheme="minorEastAsia"/>
          <w:color w:val="000000"/>
          <w:kern w:val="0"/>
          <w:sz w:val="28"/>
          <w:szCs w:val="28"/>
        </w:rPr>
        <w:t>“来自一线的</w:t>
      </w:r>
      <w:r>
        <w:rPr>
          <w:rFonts w:ascii="宋体" w:hAnsi="宋体" w:eastAsia="宋体" w:cstheme="minorEastAsia"/>
          <w:color w:val="000000"/>
          <w:kern w:val="0"/>
          <w:sz w:val="28"/>
          <w:szCs w:val="28"/>
        </w:rPr>
        <w:t>专家</w:t>
      </w:r>
      <w:r>
        <w:rPr>
          <w:rFonts w:hint="eastAsia" w:ascii="宋体" w:hAnsi="宋体" w:eastAsia="宋体" w:cstheme="minorEastAsia"/>
          <w:color w:val="000000"/>
          <w:kern w:val="0"/>
          <w:sz w:val="28"/>
          <w:szCs w:val="28"/>
        </w:rPr>
        <w:t>”。</w:t>
      </w:r>
      <w:r>
        <w:rPr>
          <w:rFonts w:hint="eastAsia" w:ascii="宋体" w:hAnsi="宋体" w:eastAsia="宋体"/>
          <w:sz w:val="28"/>
          <w:szCs w:val="28"/>
        </w:rPr>
        <w:t>以</w:t>
      </w:r>
      <w:r>
        <w:rPr>
          <w:rFonts w:ascii="宋体" w:hAnsi="宋体" w:eastAsia="宋体"/>
          <w:sz w:val="28"/>
          <w:szCs w:val="28"/>
        </w:rPr>
        <w:t>学校</w:t>
      </w:r>
      <w:r>
        <w:rPr>
          <w:rFonts w:hint="eastAsia" w:ascii="宋体" w:hAnsi="宋体" w:eastAsia="宋体"/>
          <w:sz w:val="28"/>
          <w:szCs w:val="28"/>
        </w:rPr>
        <w:t>与</w:t>
      </w:r>
      <w:r>
        <w:rPr>
          <w:rFonts w:ascii="宋体" w:hAnsi="宋体" w:eastAsia="宋体"/>
          <w:sz w:val="28"/>
          <w:szCs w:val="28"/>
        </w:rPr>
        <w:t>行业先进企业共建产业学院为</w:t>
      </w:r>
      <w:r>
        <w:rPr>
          <w:rFonts w:hint="eastAsia" w:ascii="宋体" w:hAnsi="宋体" w:eastAsia="宋体"/>
          <w:sz w:val="28"/>
          <w:szCs w:val="28"/>
        </w:rPr>
        <w:t>载体</w:t>
      </w:r>
      <w:r>
        <w:rPr>
          <w:rFonts w:ascii="宋体" w:hAnsi="宋体" w:eastAsia="宋体"/>
          <w:sz w:val="28"/>
          <w:szCs w:val="28"/>
        </w:rPr>
        <w:t>，</w:t>
      </w:r>
      <w:r>
        <w:rPr>
          <w:rFonts w:hint="eastAsia" w:ascii="宋体" w:hAnsi="宋体" w:eastAsia="宋体"/>
          <w:sz w:val="28"/>
          <w:szCs w:val="28"/>
        </w:rPr>
        <w:t>深入建设校企</w:t>
      </w:r>
      <w:r>
        <w:rPr>
          <w:rFonts w:ascii="宋体" w:hAnsi="宋体" w:eastAsia="宋体"/>
          <w:sz w:val="28"/>
          <w:szCs w:val="28"/>
        </w:rPr>
        <w:t>合作课程、校企合作实验，</w:t>
      </w:r>
      <w:r>
        <w:rPr>
          <w:rFonts w:hint="eastAsia" w:ascii="宋体" w:hAnsi="宋体" w:eastAsia="宋体"/>
          <w:sz w:val="28"/>
          <w:szCs w:val="28"/>
        </w:rPr>
        <w:t>实现实习实训“双指导”、毕业设计“双导师”、培养质量“双评价”，让学生在真实环境中感受企业家的创新意识、脚踏实地的精神和前瞻性眼光，领悟</w:t>
      </w:r>
      <w:r>
        <w:rPr>
          <w:rFonts w:ascii="宋体" w:hAnsi="宋体" w:eastAsia="宋体"/>
          <w:sz w:val="28"/>
          <w:szCs w:val="28"/>
        </w:rPr>
        <w:t>精益求精</w:t>
      </w:r>
      <w:r>
        <w:rPr>
          <w:rFonts w:hint="eastAsia" w:ascii="宋体" w:hAnsi="宋体" w:eastAsia="宋体"/>
          <w:sz w:val="28"/>
          <w:szCs w:val="28"/>
        </w:rPr>
        <w:t>、专注创新</w:t>
      </w:r>
      <w:r>
        <w:rPr>
          <w:rFonts w:ascii="宋体" w:hAnsi="宋体" w:eastAsia="宋体"/>
          <w:sz w:val="28"/>
          <w:szCs w:val="28"/>
        </w:rPr>
        <w:t>的</w:t>
      </w:r>
      <w:r>
        <w:rPr>
          <w:rFonts w:hint="eastAsia" w:ascii="宋体" w:hAnsi="宋体" w:eastAsia="宋体"/>
          <w:sz w:val="28"/>
          <w:szCs w:val="28"/>
        </w:rPr>
        <w:t>责任使命</w:t>
      </w:r>
      <w:r>
        <w:rPr>
          <w:rFonts w:ascii="宋体" w:hAnsi="宋体" w:eastAsia="宋体"/>
          <w:sz w:val="28"/>
          <w:szCs w:val="28"/>
        </w:rPr>
        <w:t>和</w:t>
      </w:r>
      <w:r>
        <w:rPr>
          <w:rFonts w:hint="eastAsia" w:ascii="宋体" w:hAnsi="宋体" w:eastAsia="宋体"/>
          <w:sz w:val="28"/>
          <w:szCs w:val="28"/>
        </w:rPr>
        <w:t>匠心</w:t>
      </w:r>
      <w:r>
        <w:rPr>
          <w:rFonts w:ascii="宋体" w:hAnsi="宋体" w:eastAsia="宋体"/>
          <w:sz w:val="28"/>
          <w:szCs w:val="28"/>
        </w:rPr>
        <w:t>精神。</w:t>
      </w:r>
    </w:p>
    <w:p>
      <w:pPr>
        <w:adjustRightInd w:val="0"/>
        <w:snapToGrid w:val="0"/>
        <w:spacing w:line="360" w:lineRule="auto"/>
        <w:ind w:firstLine="560" w:firstLineChars="200"/>
        <w:rPr>
          <w:rFonts w:ascii="宋体" w:hAnsi="宋体" w:eastAsia="宋体"/>
          <w:b/>
          <w:sz w:val="28"/>
          <w:szCs w:val="28"/>
        </w:rPr>
      </w:pPr>
      <w:r>
        <w:rPr>
          <w:rFonts w:hint="eastAsia" w:ascii="宋体" w:hAnsi="宋体" w:eastAsia="宋体" w:cstheme="minorEastAsia"/>
          <w:color w:val="000000"/>
          <w:kern w:val="0"/>
          <w:sz w:val="28"/>
          <w:szCs w:val="28"/>
        </w:rPr>
        <w:t>二是搭建“教室+校企人才培养工作室+实践教学基地”的教学载体，确保</w:t>
      </w:r>
      <w:r>
        <w:rPr>
          <w:rFonts w:ascii="宋体" w:hAnsi="宋体" w:eastAsia="宋体" w:cstheme="minorEastAsia"/>
          <w:color w:val="000000"/>
          <w:kern w:val="0"/>
          <w:sz w:val="28"/>
          <w:szCs w:val="28"/>
        </w:rPr>
        <w:t>“</w:t>
      </w:r>
      <w:r>
        <w:rPr>
          <w:rFonts w:hint="eastAsia" w:ascii="宋体" w:hAnsi="宋体" w:eastAsia="宋体" w:cstheme="minorEastAsia"/>
          <w:color w:val="000000"/>
          <w:kern w:val="0"/>
          <w:sz w:val="28"/>
          <w:szCs w:val="28"/>
        </w:rPr>
        <w:t>最鲜活</w:t>
      </w:r>
      <w:r>
        <w:rPr>
          <w:rFonts w:ascii="宋体" w:hAnsi="宋体" w:eastAsia="宋体" w:cstheme="minorEastAsia"/>
          <w:color w:val="000000"/>
          <w:kern w:val="0"/>
          <w:sz w:val="28"/>
          <w:szCs w:val="28"/>
        </w:rPr>
        <w:t>的素材”</w:t>
      </w:r>
      <w:r>
        <w:rPr>
          <w:rFonts w:hint="eastAsia" w:ascii="宋体" w:hAnsi="宋体" w:eastAsia="宋体" w:cstheme="minorEastAsia"/>
          <w:color w:val="000000"/>
          <w:kern w:val="0"/>
          <w:sz w:val="28"/>
          <w:szCs w:val="28"/>
        </w:rPr>
        <w:t>。</w:t>
      </w:r>
      <w:r>
        <w:rPr>
          <w:rFonts w:hint="eastAsia" w:ascii="宋体" w:hAnsi="宋体" w:eastAsia="宋体"/>
          <w:sz w:val="28"/>
          <w:szCs w:val="28"/>
        </w:rPr>
        <w:t>在人才培养、科学研究、社会服务等功能</w:t>
      </w:r>
      <w:r>
        <w:rPr>
          <w:rFonts w:ascii="宋体" w:hAnsi="宋体" w:eastAsia="宋体"/>
          <w:sz w:val="28"/>
          <w:szCs w:val="28"/>
        </w:rPr>
        <w:t>中统筹推进课程思政</w:t>
      </w:r>
      <w:r>
        <w:rPr>
          <w:rFonts w:hint="eastAsia" w:ascii="宋体" w:hAnsi="宋体" w:eastAsia="宋体"/>
          <w:sz w:val="28"/>
          <w:szCs w:val="28"/>
        </w:rPr>
        <w:t>，将企业的核心技术、前沿技术引入课程，将职业规范</w:t>
      </w:r>
      <w:r>
        <w:rPr>
          <w:rFonts w:ascii="宋体" w:hAnsi="宋体" w:eastAsia="宋体"/>
          <w:sz w:val="28"/>
          <w:szCs w:val="28"/>
        </w:rPr>
        <w:t>和</w:t>
      </w:r>
      <w:r>
        <w:rPr>
          <w:rFonts w:hint="eastAsia" w:ascii="宋体" w:hAnsi="宋体" w:eastAsia="宋体"/>
          <w:sz w:val="28"/>
          <w:szCs w:val="28"/>
        </w:rPr>
        <w:t>行业技能认证标准融入本科教学体系</w:t>
      </w:r>
      <w:r>
        <w:rPr>
          <w:rFonts w:ascii="宋体" w:hAnsi="宋体" w:eastAsia="宋体"/>
          <w:sz w:val="28"/>
          <w:szCs w:val="28"/>
        </w:rPr>
        <w:t>。</w:t>
      </w:r>
      <w:r>
        <w:rPr>
          <w:rFonts w:hint="eastAsia" w:ascii="宋体" w:hAnsi="宋体" w:eastAsia="宋体"/>
          <w:sz w:val="28"/>
          <w:szCs w:val="28"/>
        </w:rPr>
        <w:t>让学生通过</w:t>
      </w:r>
      <w:r>
        <w:rPr>
          <w:rFonts w:ascii="宋体" w:hAnsi="宋体" w:eastAsia="宋体"/>
          <w:sz w:val="28"/>
          <w:szCs w:val="28"/>
        </w:rPr>
        <w:t>现场实践，切身感受现代化工业发展现状，在增强民族自豪感的同时更加坚定“</w:t>
      </w:r>
      <w:r>
        <w:rPr>
          <w:rFonts w:hint="eastAsia" w:ascii="宋体" w:hAnsi="宋体" w:eastAsia="宋体"/>
          <w:sz w:val="28"/>
          <w:szCs w:val="28"/>
        </w:rPr>
        <w:t>四个自信</w:t>
      </w:r>
      <w:r>
        <w:rPr>
          <w:rFonts w:ascii="宋体" w:hAnsi="宋体" w:eastAsia="宋体"/>
          <w:sz w:val="28"/>
          <w:szCs w:val="28"/>
        </w:rPr>
        <w:t>”</w:t>
      </w:r>
      <w:r>
        <w:rPr>
          <w:rFonts w:hint="eastAsia" w:ascii="宋体" w:hAnsi="宋体" w:eastAsia="宋体"/>
          <w:sz w:val="28"/>
          <w:szCs w:val="28"/>
        </w:rPr>
        <w:t>。</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cstheme="minorEastAsia"/>
          <w:color w:val="000000"/>
          <w:kern w:val="0"/>
          <w:sz w:val="28"/>
          <w:szCs w:val="28"/>
        </w:rPr>
        <w:t>三是开设行业企业高端人才授课“短课程”，</w:t>
      </w:r>
      <w:r>
        <w:rPr>
          <w:rFonts w:ascii="宋体" w:hAnsi="宋体" w:eastAsia="宋体" w:cstheme="minorEastAsia"/>
          <w:color w:val="000000"/>
          <w:kern w:val="0"/>
          <w:sz w:val="28"/>
          <w:szCs w:val="28"/>
        </w:rPr>
        <w:t>打造“</w:t>
      </w:r>
      <w:r>
        <w:rPr>
          <w:rFonts w:hint="eastAsia" w:ascii="宋体" w:hAnsi="宋体" w:eastAsia="宋体" w:cstheme="minorEastAsia"/>
          <w:color w:val="000000"/>
          <w:kern w:val="0"/>
          <w:sz w:val="28"/>
          <w:szCs w:val="28"/>
        </w:rPr>
        <w:t>最前沿</w:t>
      </w:r>
      <w:r>
        <w:rPr>
          <w:rFonts w:ascii="宋体" w:hAnsi="宋体" w:eastAsia="宋体" w:cstheme="minorEastAsia"/>
          <w:color w:val="000000"/>
          <w:kern w:val="0"/>
          <w:sz w:val="28"/>
          <w:szCs w:val="28"/>
        </w:rPr>
        <w:t>的课堂”</w:t>
      </w:r>
      <w:r>
        <w:rPr>
          <w:rFonts w:hint="eastAsia" w:ascii="宋体" w:hAnsi="宋体" w:eastAsia="宋体" w:cstheme="minorEastAsia"/>
          <w:color w:val="000000"/>
          <w:kern w:val="0"/>
          <w:sz w:val="28"/>
          <w:szCs w:val="28"/>
        </w:rPr>
        <w:t>。</w:t>
      </w:r>
      <w:r>
        <w:rPr>
          <w:rFonts w:hint="eastAsia" w:ascii="宋体" w:hAnsi="宋体" w:eastAsia="宋体"/>
          <w:sz w:val="28"/>
          <w:szCs w:val="28"/>
        </w:rPr>
        <w:t>在直接引入</w:t>
      </w:r>
      <w:r>
        <w:rPr>
          <w:rFonts w:ascii="宋体" w:hAnsi="宋体" w:eastAsia="宋体"/>
          <w:sz w:val="28"/>
          <w:szCs w:val="28"/>
        </w:rPr>
        <w:t>企业专家</w:t>
      </w:r>
      <w:r>
        <w:rPr>
          <w:rFonts w:hint="eastAsia" w:ascii="宋体" w:hAnsi="宋体" w:eastAsia="宋体"/>
          <w:sz w:val="28"/>
          <w:szCs w:val="28"/>
        </w:rPr>
        <w:t>共建课程</w:t>
      </w:r>
      <w:r>
        <w:rPr>
          <w:rFonts w:ascii="宋体" w:hAnsi="宋体" w:eastAsia="宋体"/>
          <w:sz w:val="28"/>
          <w:szCs w:val="28"/>
        </w:rPr>
        <w:t>和实验的</w:t>
      </w:r>
      <w:r>
        <w:rPr>
          <w:rFonts w:hint="eastAsia" w:ascii="宋体" w:hAnsi="宋体" w:eastAsia="宋体"/>
          <w:sz w:val="28"/>
          <w:szCs w:val="28"/>
        </w:rPr>
        <w:t>同时</w:t>
      </w:r>
      <w:r>
        <w:rPr>
          <w:rFonts w:ascii="宋体" w:hAnsi="宋体" w:eastAsia="宋体"/>
          <w:sz w:val="28"/>
          <w:szCs w:val="28"/>
        </w:rPr>
        <w:t>，结合学科专业的</w:t>
      </w:r>
      <w:r>
        <w:rPr>
          <w:rFonts w:hint="eastAsia" w:ascii="宋体" w:hAnsi="宋体" w:eastAsia="宋体"/>
          <w:sz w:val="28"/>
          <w:szCs w:val="28"/>
        </w:rPr>
        <w:t>特点</w:t>
      </w:r>
      <w:r>
        <w:rPr>
          <w:rFonts w:ascii="宋体" w:hAnsi="宋体" w:eastAsia="宋体"/>
          <w:sz w:val="28"/>
          <w:szCs w:val="28"/>
        </w:rPr>
        <w:t>设立系列</w:t>
      </w:r>
      <w:r>
        <w:rPr>
          <w:rFonts w:hint="eastAsia" w:ascii="宋体" w:hAnsi="宋体" w:eastAsia="宋体"/>
          <w:sz w:val="28"/>
          <w:szCs w:val="28"/>
        </w:rPr>
        <w:t>“短课程”，邀请行业</w:t>
      </w:r>
      <w:r>
        <w:rPr>
          <w:rFonts w:ascii="宋体" w:hAnsi="宋体" w:eastAsia="宋体"/>
          <w:sz w:val="28"/>
          <w:szCs w:val="28"/>
        </w:rPr>
        <w:t>企业</w:t>
      </w:r>
      <w:r>
        <w:rPr>
          <w:rFonts w:hint="eastAsia" w:ascii="宋体" w:hAnsi="宋体" w:eastAsia="宋体"/>
          <w:sz w:val="28"/>
          <w:szCs w:val="28"/>
        </w:rPr>
        <w:t>高端人才结合本</w:t>
      </w:r>
      <w:r>
        <w:rPr>
          <w:rFonts w:ascii="宋体" w:hAnsi="宋体" w:eastAsia="宋体"/>
          <w:sz w:val="28"/>
          <w:szCs w:val="28"/>
        </w:rPr>
        <w:t>专</w:t>
      </w:r>
      <w:r>
        <w:rPr>
          <w:rFonts w:hint="eastAsia" w:ascii="宋体" w:hAnsi="宋体" w:eastAsia="宋体"/>
          <w:sz w:val="28"/>
          <w:szCs w:val="28"/>
        </w:rPr>
        <w:t>业</w:t>
      </w:r>
      <w:r>
        <w:rPr>
          <w:rFonts w:ascii="宋体" w:hAnsi="宋体" w:eastAsia="宋体"/>
          <w:sz w:val="28"/>
          <w:szCs w:val="28"/>
        </w:rPr>
        <w:t>的</w:t>
      </w:r>
      <w:r>
        <w:rPr>
          <w:rFonts w:hint="eastAsia" w:ascii="宋体" w:hAnsi="宋体" w:eastAsia="宋体"/>
          <w:sz w:val="28"/>
          <w:szCs w:val="28"/>
        </w:rPr>
        <w:t>技术攻关</w:t>
      </w:r>
      <w:r>
        <w:rPr>
          <w:rFonts w:ascii="宋体" w:hAnsi="宋体" w:eastAsia="宋体"/>
          <w:sz w:val="28"/>
          <w:szCs w:val="28"/>
        </w:rPr>
        <w:t>、</w:t>
      </w:r>
      <w:r>
        <w:rPr>
          <w:rFonts w:hint="eastAsia" w:ascii="宋体" w:hAnsi="宋体" w:eastAsia="宋体"/>
          <w:sz w:val="28"/>
          <w:szCs w:val="28"/>
        </w:rPr>
        <w:t>重大事件、</w:t>
      </w:r>
      <w:r>
        <w:rPr>
          <w:rFonts w:ascii="宋体" w:hAnsi="宋体" w:eastAsia="宋体"/>
          <w:sz w:val="28"/>
          <w:szCs w:val="28"/>
        </w:rPr>
        <w:t>前沿热点等问题，</w:t>
      </w:r>
      <w:r>
        <w:rPr>
          <w:rFonts w:hint="eastAsia" w:ascii="宋体" w:hAnsi="宋体" w:eastAsia="宋体"/>
          <w:sz w:val="28"/>
          <w:szCs w:val="28"/>
        </w:rPr>
        <w:t>传递</w:t>
      </w:r>
      <w:r>
        <w:rPr>
          <w:rFonts w:ascii="宋体" w:hAnsi="宋体" w:eastAsia="宋体"/>
          <w:sz w:val="28"/>
          <w:szCs w:val="28"/>
        </w:rPr>
        <w:t>爱国、创新、求实、奉献、协同、育人的科学家精神和</w:t>
      </w:r>
      <w:r>
        <w:rPr>
          <w:rFonts w:hint="eastAsia" w:ascii="宋体" w:hAnsi="宋体" w:eastAsia="宋体"/>
          <w:sz w:val="28"/>
          <w:szCs w:val="28"/>
        </w:rPr>
        <w:t>敬业</w:t>
      </w:r>
      <w:r>
        <w:rPr>
          <w:rFonts w:ascii="宋体" w:hAnsi="宋体" w:eastAsia="宋体"/>
          <w:sz w:val="28"/>
          <w:szCs w:val="28"/>
        </w:rPr>
        <w:t>、精技、专注、创新的工匠精神。</w:t>
      </w:r>
      <w:r>
        <w:rPr>
          <w:rFonts w:hint="eastAsia" w:ascii="宋体" w:hAnsi="宋体" w:eastAsia="宋体"/>
          <w:sz w:val="28"/>
          <w:szCs w:val="28"/>
        </w:rPr>
        <w:t>例如</w:t>
      </w:r>
      <w:r>
        <w:rPr>
          <w:rFonts w:ascii="宋体" w:hAnsi="宋体" w:eastAsia="宋体"/>
          <w:sz w:val="28"/>
          <w:szCs w:val="28"/>
        </w:rPr>
        <w:t>，香料学院</w:t>
      </w:r>
      <w:r>
        <w:rPr>
          <w:rFonts w:hint="eastAsia" w:ascii="宋体" w:hAnsi="宋体" w:eastAsia="宋体"/>
          <w:sz w:val="28"/>
          <w:szCs w:val="28"/>
        </w:rPr>
        <w:t>已经</w:t>
      </w:r>
      <w:r>
        <w:rPr>
          <w:rFonts w:ascii="宋体" w:hAnsi="宋体" w:eastAsia="宋体"/>
          <w:sz w:val="28"/>
          <w:szCs w:val="28"/>
        </w:rPr>
        <w:t>开设了</w:t>
      </w:r>
      <w:r>
        <w:rPr>
          <w:rFonts w:hint="eastAsia" w:ascii="宋体" w:hAnsi="宋体" w:eastAsia="宋体"/>
          <w:sz w:val="28"/>
          <w:szCs w:val="28"/>
        </w:rPr>
        <w:t>“国色添香”名师系列“短课程”，</w:t>
      </w:r>
      <w:r>
        <w:rPr>
          <w:rFonts w:ascii="宋体" w:hAnsi="宋体" w:eastAsia="宋体"/>
          <w:sz w:val="28"/>
          <w:szCs w:val="28"/>
        </w:rPr>
        <w:t>在</w:t>
      </w:r>
      <w:r>
        <w:rPr>
          <w:rFonts w:hint="eastAsia" w:ascii="宋体" w:hAnsi="宋体" w:eastAsia="宋体"/>
          <w:sz w:val="28"/>
          <w:szCs w:val="28"/>
        </w:rPr>
        <w:t>2019年上半年先后邀请国内外知名教授和企业专家开展了12场讲座，从技术开发、打破垄断</w:t>
      </w:r>
      <w:r>
        <w:rPr>
          <w:rFonts w:ascii="宋体" w:hAnsi="宋体" w:eastAsia="宋体"/>
          <w:sz w:val="28"/>
          <w:szCs w:val="28"/>
        </w:rPr>
        <w:t>、</w:t>
      </w:r>
      <w:r>
        <w:rPr>
          <w:rFonts w:hint="eastAsia" w:ascii="宋体" w:hAnsi="宋体" w:eastAsia="宋体"/>
          <w:sz w:val="28"/>
          <w:szCs w:val="28"/>
        </w:rPr>
        <w:t>制定</w:t>
      </w:r>
      <w:r>
        <w:rPr>
          <w:rFonts w:ascii="宋体" w:hAnsi="宋体" w:eastAsia="宋体"/>
          <w:sz w:val="28"/>
          <w:szCs w:val="28"/>
        </w:rPr>
        <w:t>香精</w:t>
      </w:r>
      <w:r>
        <w:rPr>
          <w:rFonts w:hint="eastAsia" w:ascii="宋体" w:hAnsi="宋体" w:eastAsia="宋体"/>
          <w:sz w:val="28"/>
          <w:szCs w:val="28"/>
        </w:rPr>
        <w:t>法规等各方面进行讲解，取得良好效果。</w:t>
      </w:r>
    </w:p>
    <w:p>
      <w:pPr>
        <w:adjustRightInd w:val="0"/>
        <w:snapToGrid w:val="0"/>
        <w:spacing w:line="360" w:lineRule="auto"/>
        <w:ind w:firstLine="548" w:firstLineChars="196"/>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6.区域协同计划</w:t>
      </w:r>
    </w:p>
    <w:p>
      <w:pPr>
        <w:adjustRightInd w:val="0"/>
        <w:snapToGrid w:val="0"/>
        <w:spacing w:line="360" w:lineRule="auto"/>
        <w:ind w:firstLine="560" w:firstLineChars="200"/>
        <w:rPr>
          <w:rFonts w:ascii="宋体" w:hAnsi="宋体" w:eastAsia="宋体"/>
          <w:sz w:val="28"/>
          <w:szCs w:val="28"/>
        </w:rPr>
      </w:pPr>
      <w:r>
        <w:rPr>
          <w:rFonts w:ascii="宋体" w:hAnsi="宋体" w:eastAsia="宋体"/>
          <w:sz w:val="28"/>
          <w:szCs w:val="28"/>
        </w:rPr>
        <w:t>2014</w:t>
      </w:r>
      <w:r>
        <w:rPr>
          <w:rFonts w:hint="eastAsia" w:ascii="宋体" w:hAnsi="宋体" w:eastAsia="宋体"/>
          <w:sz w:val="28"/>
          <w:szCs w:val="28"/>
        </w:rPr>
        <w:t>年</w:t>
      </w:r>
      <w:r>
        <w:rPr>
          <w:rFonts w:ascii="宋体" w:hAnsi="宋体" w:eastAsia="宋体"/>
          <w:sz w:val="28"/>
          <w:szCs w:val="28"/>
        </w:rPr>
        <w:t>，学校作为</w:t>
      </w:r>
      <w:r>
        <w:rPr>
          <w:rFonts w:hint="eastAsia" w:ascii="宋体" w:hAnsi="宋体" w:eastAsia="宋体"/>
          <w:sz w:val="28"/>
          <w:szCs w:val="28"/>
        </w:rPr>
        <w:t>主要</w:t>
      </w:r>
      <w:r>
        <w:rPr>
          <w:rFonts w:ascii="宋体" w:hAnsi="宋体" w:eastAsia="宋体"/>
          <w:sz w:val="28"/>
          <w:szCs w:val="28"/>
        </w:rPr>
        <w:t>成员发起成立长三角</w:t>
      </w:r>
      <w:r>
        <w:rPr>
          <w:rFonts w:hint="eastAsia" w:ascii="宋体" w:hAnsi="宋体" w:eastAsia="宋体"/>
          <w:sz w:val="28"/>
          <w:szCs w:val="28"/>
        </w:rPr>
        <w:t>地区</w:t>
      </w:r>
      <w:r>
        <w:rPr>
          <w:rFonts w:ascii="宋体" w:hAnsi="宋体" w:eastAsia="宋体"/>
          <w:sz w:val="28"/>
          <w:szCs w:val="28"/>
        </w:rPr>
        <w:t>应用型本科高校联盟，并当选为第一届</w:t>
      </w:r>
      <w:r>
        <w:rPr>
          <w:rFonts w:hint="eastAsia" w:ascii="宋体" w:hAnsi="宋体" w:eastAsia="宋体"/>
          <w:sz w:val="28"/>
          <w:szCs w:val="28"/>
        </w:rPr>
        <w:t>理事会</w:t>
      </w:r>
      <w:r>
        <w:rPr>
          <w:rFonts w:ascii="宋体" w:hAnsi="宋体" w:eastAsia="宋体"/>
          <w:sz w:val="28"/>
          <w:szCs w:val="28"/>
        </w:rPr>
        <w:t>主席单位。</w:t>
      </w:r>
      <w:r>
        <w:rPr>
          <w:rFonts w:hint="eastAsia" w:ascii="宋体" w:hAnsi="宋体" w:eastAsia="宋体"/>
          <w:sz w:val="28"/>
          <w:szCs w:val="28"/>
        </w:rPr>
        <w:t>联盟成立</w:t>
      </w:r>
      <w:r>
        <w:rPr>
          <w:rFonts w:ascii="宋体" w:hAnsi="宋体" w:eastAsia="宋体"/>
          <w:sz w:val="28"/>
          <w:szCs w:val="28"/>
        </w:rPr>
        <w:t>以来，涵盖</w:t>
      </w:r>
      <w:r>
        <w:rPr>
          <w:rFonts w:hint="eastAsia" w:ascii="宋体" w:hAnsi="宋体" w:eastAsia="宋体"/>
          <w:sz w:val="28"/>
          <w:szCs w:val="28"/>
        </w:rPr>
        <w:t>了23所</w:t>
      </w:r>
      <w:r>
        <w:rPr>
          <w:rFonts w:ascii="宋体" w:hAnsi="宋体" w:eastAsia="宋体"/>
          <w:sz w:val="28"/>
          <w:szCs w:val="28"/>
        </w:rPr>
        <w:t>应用型本科高校，</w:t>
      </w:r>
      <w:r>
        <w:rPr>
          <w:rFonts w:hint="eastAsia" w:ascii="宋体" w:hAnsi="宋体" w:eastAsia="宋体"/>
          <w:sz w:val="28"/>
          <w:szCs w:val="28"/>
        </w:rPr>
        <w:t>在</w:t>
      </w:r>
      <w:r>
        <w:rPr>
          <w:rFonts w:ascii="宋体" w:hAnsi="宋体" w:eastAsia="宋体"/>
          <w:sz w:val="28"/>
          <w:szCs w:val="28"/>
        </w:rPr>
        <w:t>创新创业教育、产教融合、教学改革</w:t>
      </w:r>
      <w:r>
        <w:rPr>
          <w:rFonts w:hint="eastAsia" w:ascii="宋体" w:hAnsi="宋体" w:eastAsia="宋体"/>
          <w:sz w:val="28"/>
          <w:szCs w:val="28"/>
        </w:rPr>
        <w:t>、</w:t>
      </w:r>
      <w:r>
        <w:rPr>
          <w:rFonts w:ascii="宋体" w:hAnsi="宋体" w:eastAsia="宋体"/>
          <w:sz w:val="28"/>
          <w:szCs w:val="28"/>
        </w:rPr>
        <w:t>中外合作</w:t>
      </w:r>
      <w:r>
        <w:rPr>
          <w:rFonts w:hint="eastAsia" w:ascii="宋体" w:hAnsi="宋体" w:eastAsia="宋体"/>
          <w:sz w:val="28"/>
          <w:szCs w:val="28"/>
        </w:rPr>
        <w:t>和</w:t>
      </w:r>
      <w:r>
        <w:rPr>
          <w:rFonts w:ascii="宋体" w:hAnsi="宋体" w:eastAsia="宋体"/>
          <w:sz w:val="28"/>
          <w:szCs w:val="28"/>
        </w:rPr>
        <w:t>党建等方面</w:t>
      </w:r>
      <w:r>
        <w:rPr>
          <w:rFonts w:hint="eastAsia" w:ascii="宋体" w:hAnsi="宋体" w:eastAsia="宋体"/>
          <w:sz w:val="28"/>
          <w:szCs w:val="28"/>
        </w:rPr>
        <w:t>开展</w:t>
      </w:r>
      <w:r>
        <w:rPr>
          <w:rFonts w:ascii="宋体" w:hAnsi="宋体" w:eastAsia="宋体"/>
          <w:sz w:val="28"/>
          <w:szCs w:val="28"/>
        </w:rPr>
        <w:t>了广泛合作，</w:t>
      </w:r>
      <w:r>
        <w:rPr>
          <w:rFonts w:hint="eastAsia" w:ascii="宋体" w:hAnsi="宋体" w:eastAsia="宋体"/>
          <w:sz w:val="28"/>
          <w:szCs w:val="28"/>
        </w:rPr>
        <w:t>成立</w:t>
      </w:r>
      <w:r>
        <w:rPr>
          <w:rFonts w:ascii="宋体" w:hAnsi="宋体" w:eastAsia="宋体"/>
          <w:sz w:val="28"/>
          <w:szCs w:val="28"/>
        </w:rPr>
        <w:t>了</w:t>
      </w:r>
      <w:r>
        <w:rPr>
          <w:rFonts w:hint="eastAsia" w:ascii="宋体" w:hAnsi="宋体" w:eastAsia="宋体"/>
          <w:sz w:val="28"/>
          <w:szCs w:val="28"/>
        </w:rPr>
        <w:t>长三角地区应用型本科高校德育联盟，</w:t>
      </w:r>
      <w:r>
        <w:rPr>
          <w:rFonts w:ascii="宋体" w:hAnsi="宋体" w:eastAsia="宋体"/>
          <w:sz w:val="28"/>
          <w:szCs w:val="28"/>
        </w:rPr>
        <w:t>形成了成熟稳定的工作机制。</w:t>
      </w:r>
    </w:p>
    <w:p>
      <w:pPr>
        <w:adjustRightInd w:val="0"/>
        <w:snapToGrid w:val="0"/>
        <w:spacing w:line="360" w:lineRule="auto"/>
        <w:ind w:firstLine="560" w:firstLineChars="200"/>
        <w:rPr>
          <w:rFonts w:ascii="宋体" w:hAnsi="宋体" w:eastAsia="宋体"/>
          <w:sz w:val="28"/>
          <w:szCs w:val="28"/>
        </w:rPr>
      </w:pPr>
      <w:r>
        <w:rPr>
          <w:rFonts w:ascii="宋体" w:hAnsi="宋体" w:eastAsia="宋体"/>
          <w:sz w:val="28"/>
          <w:szCs w:val="28"/>
        </w:rPr>
        <w:t>学校将</w:t>
      </w:r>
      <w:r>
        <w:rPr>
          <w:rFonts w:hint="eastAsia" w:ascii="宋体" w:hAnsi="宋体" w:eastAsia="宋体"/>
          <w:sz w:val="28"/>
          <w:szCs w:val="28"/>
        </w:rPr>
        <w:t>以</w:t>
      </w:r>
      <w:r>
        <w:rPr>
          <w:rFonts w:ascii="宋体" w:hAnsi="宋体" w:eastAsia="宋体"/>
          <w:sz w:val="28"/>
          <w:szCs w:val="28"/>
        </w:rPr>
        <w:t>长三角区域一体化发展</w:t>
      </w:r>
      <w:r>
        <w:rPr>
          <w:rFonts w:hint="eastAsia" w:ascii="宋体" w:hAnsi="宋体" w:eastAsia="宋体"/>
          <w:sz w:val="28"/>
          <w:szCs w:val="28"/>
        </w:rPr>
        <w:t>上升为</w:t>
      </w:r>
      <w:r>
        <w:rPr>
          <w:rFonts w:ascii="宋体" w:hAnsi="宋体" w:eastAsia="宋体"/>
          <w:sz w:val="28"/>
          <w:szCs w:val="28"/>
        </w:rPr>
        <w:t>国家战略</w:t>
      </w:r>
      <w:r>
        <w:rPr>
          <w:rFonts w:hint="eastAsia" w:ascii="宋体" w:hAnsi="宋体" w:eastAsia="宋体"/>
          <w:sz w:val="28"/>
          <w:szCs w:val="28"/>
        </w:rPr>
        <w:t>为</w:t>
      </w:r>
      <w:r>
        <w:rPr>
          <w:rFonts w:ascii="宋体" w:hAnsi="宋体" w:eastAsia="宋体"/>
          <w:sz w:val="28"/>
          <w:szCs w:val="28"/>
        </w:rPr>
        <w:t>契机，</w:t>
      </w:r>
      <w:r>
        <w:rPr>
          <w:rFonts w:hint="eastAsia" w:ascii="宋体" w:hAnsi="宋体" w:eastAsia="宋体"/>
          <w:sz w:val="28"/>
          <w:szCs w:val="28"/>
        </w:rPr>
        <w:t>加强和</w:t>
      </w:r>
      <w:r>
        <w:rPr>
          <w:rFonts w:ascii="宋体" w:hAnsi="宋体" w:eastAsia="宋体"/>
          <w:sz w:val="28"/>
          <w:szCs w:val="28"/>
        </w:rPr>
        <w:t>促进</w:t>
      </w:r>
      <w:r>
        <w:rPr>
          <w:rFonts w:hint="eastAsia" w:ascii="宋体" w:hAnsi="宋体" w:eastAsia="宋体"/>
          <w:sz w:val="28"/>
          <w:szCs w:val="28"/>
        </w:rPr>
        <w:t>长三角</w:t>
      </w:r>
      <w:r>
        <w:rPr>
          <w:rFonts w:ascii="宋体" w:hAnsi="宋体" w:eastAsia="宋体"/>
          <w:sz w:val="28"/>
          <w:szCs w:val="28"/>
        </w:rPr>
        <w:t>地区</w:t>
      </w:r>
      <w:r>
        <w:rPr>
          <w:rFonts w:hint="eastAsia" w:ascii="宋体" w:hAnsi="宋体" w:eastAsia="宋体"/>
          <w:sz w:val="28"/>
          <w:szCs w:val="28"/>
        </w:rPr>
        <w:t>应用型</w:t>
      </w:r>
      <w:r>
        <w:rPr>
          <w:rFonts w:ascii="宋体" w:hAnsi="宋体" w:eastAsia="宋体"/>
          <w:sz w:val="28"/>
          <w:szCs w:val="28"/>
        </w:rPr>
        <w:t>本科高校联盟之间</w:t>
      </w:r>
      <w:r>
        <w:rPr>
          <w:rFonts w:hint="eastAsia" w:ascii="宋体" w:hAnsi="宋体" w:eastAsia="宋体"/>
          <w:sz w:val="28"/>
          <w:szCs w:val="28"/>
        </w:rPr>
        <w:t>在</w:t>
      </w:r>
      <w:r>
        <w:rPr>
          <w:rFonts w:ascii="宋体" w:hAnsi="宋体" w:eastAsia="宋体"/>
          <w:sz w:val="28"/>
          <w:szCs w:val="28"/>
        </w:rPr>
        <w:t>课程思政教学改革中的交流和</w:t>
      </w:r>
      <w:r>
        <w:rPr>
          <w:rFonts w:hint="eastAsia" w:ascii="宋体" w:hAnsi="宋体" w:eastAsia="宋体"/>
          <w:sz w:val="28"/>
          <w:szCs w:val="28"/>
        </w:rPr>
        <w:t>借鉴</w:t>
      </w:r>
      <w:r>
        <w:rPr>
          <w:rFonts w:ascii="宋体" w:hAnsi="宋体" w:eastAsia="宋体"/>
          <w:sz w:val="28"/>
          <w:szCs w:val="28"/>
        </w:rPr>
        <w:t>。</w:t>
      </w:r>
      <w:r>
        <w:rPr>
          <w:rFonts w:hint="eastAsia" w:ascii="宋体" w:hAnsi="宋体" w:eastAsia="宋体"/>
          <w:sz w:val="28"/>
          <w:szCs w:val="28"/>
        </w:rPr>
        <w:t>通过</w:t>
      </w:r>
      <w:r>
        <w:rPr>
          <w:rFonts w:ascii="宋体" w:hAnsi="宋体" w:eastAsia="宋体"/>
          <w:sz w:val="28"/>
          <w:szCs w:val="28"/>
        </w:rPr>
        <w:t>组织开展长三角</w:t>
      </w:r>
      <w:r>
        <w:rPr>
          <w:rFonts w:hint="eastAsia" w:ascii="宋体" w:hAnsi="宋体" w:eastAsia="宋体"/>
          <w:sz w:val="28"/>
          <w:szCs w:val="28"/>
        </w:rPr>
        <w:t>课程思政“金课”教学</w:t>
      </w:r>
      <w:r>
        <w:rPr>
          <w:rFonts w:ascii="宋体" w:hAnsi="宋体" w:eastAsia="宋体"/>
          <w:sz w:val="28"/>
          <w:szCs w:val="28"/>
        </w:rPr>
        <w:t>设计大赛、课程思政教学</w:t>
      </w:r>
      <w:r>
        <w:rPr>
          <w:rFonts w:hint="eastAsia" w:ascii="宋体" w:hAnsi="宋体" w:eastAsia="宋体"/>
          <w:sz w:val="28"/>
          <w:szCs w:val="28"/>
        </w:rPr>
        <w:t>改革</w:t>
      </w:r>
      <w:r>
        <w:rPr>
          <w:rFonts w:ascii="宋体" w:hAnsi="宋体" w:eastAsia="宋体"/>
          <w:sz w:val="28"/>
          <w:szCs w:val="28"/>
        </w:rPr>
        <w:t>研讨会、</w:t>
      </w:r>
      <w:r>
        <w:rPr>
          <w:rFonts w:hint="eastAsia" w:ascii="宋体" w:hAnsi="宋体" w:eastAsia="宋体"/>
          <w:sz w:val="28"/>
          <w:szCs w:val="28"/>
        </w:rPr>
        <w:t>组建课程思政</w:t>
      </w:r>
      <w:r>
        <w:rPr>
          <w:rFonts w:ascii="宋体" w:hAnsi="宋体" w:eastAsia="宋体"/>
          <w:sz w:val="28"/>
          <w:szCs w:val="28"/>
        </w:rPr>
        <w:t>教研联合体和教材开发组等多种形式，</w:t>
      </w:r>
      <w:r>
        <w:rPr>
          <w:rFonts w:hint="eastAsia" w:ascii="宋体" w:hAnsi="宋体" w:eastAsia="宋体"/>
          <w:sz w:val="28"/>
          <w:szCs w:val="28"/>
        </w:rPr>
        <w:t>与</w:t>
      </w:r>
      <w:r>
        <w:rPr>
          <w:rFonts w:ascii="宋体" w:hAnsi="宋体" w:eastAsia="宋体"/>
          <w:sz w:val="28"/>
          <w:szCs w:val="28"/>
        </w:rPr>
        <w:t>联盟高校</w:t>
      </w:r>
      <w:r>
        <w:rPr>
          <w:rFonts w:hint="eastAsia" w:ascii="宋体" w:hAnsi="宋体" w:eastAsia="宋体"/>
          <w:sz w:val="28"/>
          <w:szCs w:val="28"/>
        </w:rPr>
        <w:t>开展</w:t>
      </w:r>
      <w:r>
        <w:rPr>
          <w:rFonts w:ascii="宋体" w:hAnsi="宋体" w:eastAsia="宋体"/>
          <w:sz w:val="28"/>
          <w:szCs w:val="28"/>
        </w:rPr>
        <w:t>有效合作，实现师资、专业</w:t>
      </w:r>
      <w:r>
        <w:rPr>
          <w:rFonts w:hint="eastAsia" w:ascii="宋体" w:hAnsi="宋体" w:eastAsia="宋体"/>
          <w:sz w:val="28"/>
          <w:szCs w:val="28"/>
        </w:rPr>
        <w:t>和</w:t>
      </w:r>
      <w:r>
        <w:rPr>
          <w:rFonts w:ascii="宋体" w:hAnsi="宋体" w:eastAsia="宋体"/>
          <w:sz w:val="28"/>
          <w:szCs w:val="28"/>
        </w:rPr>
        <w:t>实践教育基地的优势互补。</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此外</w:t>
      </w:r>
      <w:r>
        <w:rPr>
          <w:rFonts w:ascii="宋体" w:hAnsi="宋体" w:eastAsia="宋体"/>
          <w:sz w:val="28"/>
          <w:szCs w:val="28"/>
        </w:rPr>
        <w:t>，</w:t>
      </w:r>
      <w:r>
        <w:rPr>
          <w:rFonts w:hint="eastAsia" w:ascii="宋体" w:hAnsi="宋体" w:eastAsia="宋体"/>
          <w:sz w:val="28"/>
          <w:szCs w:val="28"/>
        </w:rPr>
        <w:t>加强长三角地区应用型本科高校之间党建工作的联动协作。依托新建本科党建研究会和长三角地区应用型本科高校德育联盟组建应用技术型大学党建研究中心，组织召开党建工作研讨会、党建论坛等，促进</w:t>
      </w:r>
      <w:r>
        <w:rPr>
          <w:rFonts w:ascii="宋体" w:hAnsi="宋体" w:eastAsia="宋体"/>
          <w:sz w:val="28"/>
          <w:szCs w:val="28"/>
        </w:rPr>
        <w:t>党建与育人的双向促进</w:t>
      </w:r>
      <w:r>
        <w:rPr>
          <w:rFonts w:hint="eastAsia" w:ascii="宋体" w:hAnsi="宋体" w:eastAsia="宋体"/>
          <w:sz w:val="28"/>
          <w:szCs w:val="28"/>
        </w:rPr>
        <w:t>。</w:t>
      </w:r>
    </w:p>
    <w:p>
      <w:pPr>
        <w:pStyle w:val="10"/>
        <w:adjustRightInd w:val="0"/>
        <w:snapToGrid w:val="0"/>
        <w:spacing w:before="0" w:beforeAutospacing="0" w:after="0" w:afterAutospacing="0" w:line="360" w:lineRule="auto"/>
        <w:ind w:firstLine="562" w:firstLineChars="200"/>
        <w:rPr>
          <w:b/>
          <w:sz w:val="28"/>
          <w:szCs w:val="28"/>
        </w:rPr>
      </w:pPr>
      <w:r>
        <w:rPr>
          <w:rFonts w:hint="eastAsia"/>
          <w:b/>
          <w:sz w:val="28"/>
          <w:szCs w:val="28"/>
        </w:rPr>
        <w:t>（四）具体方案</w:t>
      </w:r>
    </w:p>
    <w:p>
      <w:pPr>
        <w:adjustRightInd w:val="0"/>
        <w:snapToGrid w:val="0"/>
        <w:spacing w:line="360" w:lineRule="auto"/>
        <w:ind w:firstLine="420" w:firstLineChars="150"/>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1.领航学院</w:t>
      </w:r>
      <w:r>
        <w:rPr>
          <w:rFonts w:ascii="宋体" w:hAnsi="宋体" w:eastAsia="宋体" w:cstheme="minorEastAsia"/>
          <w:color w:val="000000"/>
          <w:kern w:val="0"/>
          <w:sz w:val="28"/>
          <w:szCs w:val="28"/>
        </w:rPr>
        <w:t>、领航团队、领航课程</w:t>
      </w:r>
      <w:r>
        <w:rPr>
          <w:rFonts w:hint="eastAsia" w:ascii="宋体" w:hAnsi="宋体" w:eastAsia="宋体" w:cstheme="minorEastAsia"/>
          <w:color w:val="000000"/>
          <w:kern w:val="0"/>
          <w:sz w:val="28"/>
          <w:szCs w:val="28"/>
        </w:rPr>
        <w:t>名单</w:t>
      </w:r>
    </w:p>
    <w:tbl>
      <w:tblPr>
        <w:tblStyle w:val="12"/>
        <w:tblW w:w="88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3544"/>
        <w:gridCol w:w="2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518" w:type="dxa"/>
            <w:vAlign w:val="center"/>
          </w:tcPr>
          <w:p>
            <w:pPr>
              <w:spacing w:line="360" w:lineRule="auto"/>
              <w:jc w:val="center"/>
              <w:rPr>
                <w:rFonts w:ascii="宋体" w:hAnsi="宋体" w:eastAsia="宋体" w:cs="Times New Roman"/>
                <w:kern w:val="0"/>
                <w:sz w:val="24"/>
                <w:szCs w:val="24"/>
              </w:rPr>
            </w:pPr>
            <w:r>
              <w:rPr>
                <w:rFonts w:hint="eastAsia" w:ascii="宋体" w:hAnsi="宋体" w:eastAsia="宋体" w:cs="Times New Roman"/>
                <w:kern w:val="0"/>
                <w:sz w:val="24"/>
                <w:szCs w:val="24"/>
              </w:rPr>
              <w:t>领航学院（6个）</w:t>
            </w:r>
          </w:p>
        </w:tc>
        <w:tc>
          <w:tcPr>
            <w:tcW w:w="3544" w:type="dxa"/>
            <w:vAlign w:val="center"/>
          </w:tcPr>
          <w:p>
            <w:pPr>
              <w:spacing w:line="360" w:lineRule="auto"/>
              <w:jc w:val="center"/>
              <w:rPr>
                <w:rFonts w:ascii="宋体" w:hAnsi="宋体" w:eastAsia="宋体" w:cs="Times New Roman"/>
                <w:kern w:val="0"/>
                <w:sz w:val="24"/>
                <w:szCs w:val="24"/>
              </w:rPr>
            </w:pPr>
            <w:r>
              <w:rPr>
                <w:rFonts w:hint="eastAsia" w:ascii="宋体" w:hAnsi="宋体" w:eastAsia="宋体" w:cs="Times New Roman"/>
                <w:kern w:val="0"/>
                <w:sz w:val="24"/>
                <w:szCs w:val="24"/>
              </w:rPr>
              <w:t>领航团队（12个）</w:t>
            </w:r>
          </w:p>
        </w:tc>
        <w:tc>
          <w:tcPr>
            <w:tcW w:w="2805" w:type="dxa"/>
            <w:vAlign w:val="center"/>
          </w:tcPr>
          <w:p>
            <w:pPr>
              <w:spacing w:line="360" w:lineRule="auto"/>
              <w:jc w:val="center"/>
              <w:rPr>
                <w:rFonts w:ascii="宋体" w:hAnsi="宋体" w:eastAsia="宋体" w:cs="Times New Roman"/>
                <w:kern w:val="0"/>
                <w:sz w:val="24"/>
                <w:szCs w:val="24"/>
              </w:rPr>
            </w:pPr>
            <w:r>
              <w:rPr>
                <w:rFonts w:hint="eastAsia" w:ascii="宋体" w:hAnsi="宋体" w:eastAsia="宋体" w:cs="Times New Roman"/>
                <w:kern w:val="0"/>
                <w:sz w:val="24"/>
                <w:szCs w:val="24"/>
              </w:rPr>
              <w:t>领航课程（129门）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518" w:type="dxa"/>
            <w:vAlign w:val="center"/>
          </w:tcPr>
          <w:p>
            <w:pPr>
              <w:spacing w:line="360" w:lineRule="auto"/>
              <w:jc w:val="center"/>
              <w:rPr>
                <w:rFonts w:ascii="宋体" w:hAnsi="宋体" w:eastAsia="宋体" w:cs="Times New Roman"/>
                <w:kern w:val="0"/>
                <w:sz w:val="24"/>
                <w:szCs w:val="24"/>
              </w:rPr>
            </w:pPr>
            <w:r>
              <w:rPr>
                <w:rFonts w:hint="eastAsia" w:ascii="宋体" w:hAnsi="宋体" w:eastAsia="宋体" w:cs="Times New Roman"/>
                <w:kern w:val="0"/>
                <w:sz w:val="24"/>
                <w:szCs w:val="24"/>
              </w:rPr>
              <w:t>香料香精技术与工程学院</w:t>
            </w:r>
          </w:p>
        </w:tc>
        <w:tc>
          <w:tcPr>
            <w:tcW w:w="3544" w:type="dxa"/>
          </w:tcPr>
          <w:p>
            <w:pPr>
              <w:spacing w:line="360" w:lineRule="auto"/>
              <w:rPr>
                <w:rFonts w:ascii="宋体" w:hAnsi="宋体" w:eastAsia="宋体" w:cs="Times New Roman"/>
                <w:kern w:val="0"/>
                <w:sz w:val="24"/>
                <w:szCs w:val="24"/>
              </w:rPr>
            </w:pPr>
            <w:r>
              <w:rPr>
                <w:rFonts w:hint="eastAsia" w:ascii="宋体" w:hAnsi="宋体" w:eastAsia="宋体" w:cs="Times New Roman"/>
                <w:kern w:val="0"/>
                <w:sz w:val="24"/>
                <w:szCs w:val="24"/>
              </w:rPr>
              <w:t>1.食品科学与工程领航团队</w:t>
            </w:r>
          </w:p>
          <w:p>
            <w:pPr>
              <w:spacing w:line="360" w:lineRule="auto"/>
              <w:rPr>
                <w:rFonts w:ascii="宋体" w:hAnsi="宋体" w:eastAsia="宋体" w:cs="Times New Roman"/>
                <w:kern w:val="0"/>
                <w:sz w:val="24"/>
                <w:szCs w:val="24"/>
              </w:rPr>
            </w:pPr>
            <w:r>
              <w:rPr>
                <w:rFonts w:hint="eastAsia" w:ascii="宋体" w:hAnsi="宋体" w:eastAsia="宋体" w:cs="Times New Roman"/>
                <w:kern w:val="0"/>
                <w:sz w:val="24"/>
                <w:szCs w:val="24"/>
              </w:rPr>
              <w:t>2.香料香精化妆品领航团队</w:t>
            </w:r>
          </w:p>
        </w:tc>
        <w:tc>
          <w:tcPr>
            <w:tcW w:w="2805" w:type="dxa"/>
          </w:tcPr>
          <w:p>
            <w:pPr>
              <w:spacing w:line="360" w:lineRule="auto"/>
              <w:rPr>
                <w:rFonts w:ascii="宋体" w:hAnsi="宋体" w:eastAsia="宋体" w:cs="Times New Roman"/>
                <w:kern w:val="0"/>
                <w:sz w:val="24"/>
                <w:szCs w:val="24"/>
              </w:rPr>
            </w:pPr>
            <w:r>
              <w:rPr>
                <w:rFonts w:hint="eastAsia" w:ascii="宋体" w:hAnsi="宋体" w:eastAsia="宋体" w:cs="Times New Roman"/>
                <w:kern w:val="0"/>
                <w:sz w:val="24"/>
                <w:szCs w:val="24"/>
              </w:rPr>
              <w:t>食品工艺学、食用香精工艺学、化妆品工艺学等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518" w:type="dxa"/>
            <w:vAlign w:val="center"/>
          </w:tcPr>
          <w:p>
            <w:pPr>
              <w:spacing w:line="360" w:lineRule="auto"/>
              <w:jc w:val="center"/>
              <w:rPr>
                <w:rFonts w:ascii="宋体" w:hAnsi="宋体" w:eastAsia="宋体" w:cs="Times New Roman"/>
                <w:kern w:val="0"/>
                <w:sz w:val="24"/>
                <w:szCs w:val="24"/>
              </w:rPr>
            </w:pPr>
            <w:r>
              <w:rPr>
                <w:rFonts w:hint="eastAsia" w:ascii="宋体" w:hAnsi="宋体" w:eastAsia="宋体" w:cs="Times New Roman"/>
                <w:kern w:val="0"/>
                <w:sz w:val="24"/>
                <w:szCs w:val="24"/>
              </w:rPr>
              <w:t>材料科学与工程学院</w:t>
            </w:r>
          </w:p>
        </w:tc>
        <w:tc>
          <w:tcPr>
            <w:tcW w:w="3544" w:type="dxa"/>
          </w:tcPr>
          <w:p>
            <w:pPr>
              <w:spacing w:line="360" w:lineRule="auto"/>
              <w:rPr>
                <w:rFonts w:ascii="宋体" w:hAnsi="宋体" w:eastAsia="宋体" w:cs="Times New Roman"/>
                <w:kern w:val="0"/>
                <w:sz w:val="24"/>
                <w:szCs w:val="24"/>
              </w:rPr>
            </w:pPr>
            <w:r>
              <w:rPr>
                <w:rFonts w:hint="eastAsia" w:ascii="宋体" w:hAnsi="宋体" w:eastAsia="宋体" w:cs="Times New Roman"/>
                <w:kern w:val="0"/>
                <w:sz w:val="24"/>
                <w:szCs w:val="24"/>
              </w:rPr>
              <w:t>3.产业急需材料领航团队</w:t>
            </w:r>
          </w:p>
          <w:p>
            <w:pPr>
              <w:spacing w:line="360" w:lineRule="auto"/>
              <w:rPr>
                <w:rFonts w:ascii="宋体" w:hAnsi="宋体" w:eastAsia="宋体" w:cs="Times New Roman"/>
                <w:kern w:val="0"/>
                <w:sz w:val="24"/>
                <w:szCs w:val="24"/>
              </w:rPr>
            </w:pPr>
            <w:r>
              <w:rPr>
                <w:rFonts w:hint="eastAsia" w:ascii="宋体" w:hAnsi="宋体" w:eastAsia="宋体" w:cs="Times New Roman"/>
                <w:kern w:val="0"/>
                <w:sz w:val="24"/>
                <w:szCs w:val="24"/>
              </w:rPr>
              <w:t>4.国际视野材料领航团队</w:t>
            </w:r>
          </w:p>
        </w:tc>
        <w:tc>
          <w:tcPr>
            <w:tcW w:w="2805" w:type="dxa"/>
          </w:tcPr>
          <w:p>
            <w:pPr>
              <w:spacing w:line="360" w:lineRule="auto"/>
              <w:rPr>
                <w:rFonts w:ascii="宋体" w:hAnsi="宋体" w:eastAsia="宋体" w:cs="Times New Roman"/>
                <w:kern w:val="0"/>
                <w:sz w:val="24"/>
                <w:szCs w:val="24"/>
              </w:rPr>
            </w:pPr>
            <w:r>
              <w:rPr>
                <w:rFonts w:hint="eastAsia" w:ascii="宋体" w:hAnsi="宋体" w:eastAsia="宋体" w:cs="Times New Roman"/>
                <w:kern w:val="0"/>
                <w:sz w:val="24"/>
                <w:szCs w:val="24"/>
              </w:rPr>
              <w:t>光电子材料、微电子工艺学、材料学概论等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518" w:type="dxa"/>
            <w:vAlign w:val="center"/>
          </w:tcPr>
          <w:p>
            <w:pPr>
              <w:spacing w:line="360" w:lineRule="auto"/>
              <w:jc w:val="center"/>
              <w:rPr>
                <w:rFonts w:ascii="宋体" w:hAnsi="宋体" w:eastAsia="宋体" w:cs="Times New Roman"/>
                <w:kern w:val="0"/>
                <w:sz w:val="24"/>
                <w:szCs w:val="24"/>
              </w:rPr>
            </w:pPr>
            <w:r>
              <w:rPr>
                <w:rFonts w:hint="eastAsia" w:ascii="宋体" w:hAnsi="宋体" w:eastAsia="宋体" w:cs="Times New Roman"/>
                <w:kern w:val="0"/>
                <w:sz w:val="24"/>
                <w:szCs w:val="24"/>
              </w:rPr>
              <w:t>化学与环境工程学院</w:t>
            </w:r>
          </w:p>
        </w:tc>
        <w:tc>
          <w:tcPr>
            <w:tcW w:w="3544" w:type="dxa"/>
          </w:tcPr>
          <w:p>
            <w:pPr>
              <w:spacing w:line="360" w:lineRule="auto"/>
              <w:rPr>
                <w:rFonts w:ascii="宋体" w:hAnsi="宋体" w:eastAsia="宋体" w:cs="Times New Roman"/>
                <w:kern w:val="0"/>
                <w:sz w:val="24"/>
                <w:szCs w:val="24"/>
              </w:rPr>
            </w:pPr>
            <w:r>
              <w:rPr>
                <w:rFonts w:hint="eastAsia" w:ascii="宋体" w:hAnsi="宋体" w:eastAsia="宋体" w:cs="Times New Roman"/>
                <w:kern w:val="0"/>
                <w:sz w:val="24"/>
                <w:szCs w:val="24"/>
              </w:rPr>
              <w:t>5.生态环境领航团队</w:t>
            </w:r>
          </w:p>
          <w:p>
            <w:pPr>
              <w:spacing w:line="360" w:lineRule="auto"/>
              <w:rPr>
                <w:rFonts w:ascii="宋体" w:hAnsi="宋体" w:eastAsia="宋体" w:cs="Times New Roman"/>
                <w:kern w:val="0"/>
                <w:sz w:val="24"/>
                <w:szCs w:val="24"/>
              </w:rPr>
            </w:pPr>
            <w:r>
              <w:rPr>
                <w:rFonts w:hint="eastAsia" w:ascii="宋体" w:hAnsi="宋体" w:eastAsia="宋体" w:cs="Times New Roman"/>
                <w:kern w:val="0"/>
                <w:sz w:val="24"/>
                <w:szCs w:val="24"/>
              </w:rPr>
              <w:t>6.绿色化工领航团队</w:t>
            </w:r>
          </w:p>
        </w:tc>
        <w:tc>
          <w:tcPr>
            <w:tcW w:w="2805" w:type="dxa"/>
          </w:tcPr>
          <w:p>
            <w:pPr>
              <w:spacing w:line="360" w:lineRule="auto"/>
              <w:rPr>
                <w:rFonts w:ascii="宋体" w:hAnsi="宋体" w:eastAsia="宋体" w:cs="Times New Roman"/>
                <w:kern w:val="0"/>
                <w:sz w:val="24"/>
                <w:szCs w:val="24"/>
              </w:rPr>
            </w:pPr>
            <w:r>
              <w:rPr>
                <w:rFonts w:hint="eastAsia" w:ascii="宋体" w:hAnsi="宋体" w:eastAsia="宋体" w:cs="Times New Roman"/>
                <w:kern w:val="0"/>
                <w:sz w:val="24"/>
                <w:szCs w:val="24"/>
              </w:rPr>
              <w:t>环境生态学、环境影响评价、化工环保与安全等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2518" w:type="dxa"/>
            <w:vAlign w:val="center"/>
          </w:tcPr>
          <w:p>
            <w:pPr>
              <w:spacing w:line="360" w:lineRule="auto"/>
              <w:jc w:val="center"/>
              <w:rPr>
                <w:rFonts w:ascii="宋体" w:hAnsi="宋体" w:eastAsia="宋体" w:cs="Times New Roman"/>
                <w:kern w:val="0"/>
                <w:sz w:val="24"/>
                <w:szCs w:val="24"/>
              </w:rPr>
            </w:pPr>
            <w:r>
              <w:rPr>
                <w:rFonts w:hint="eastAsia" w:ascii="宋体" w:hAnsi="宋体" w:eastAsia="宋体" w:cs="Times New Roman"/>
                <w:kern w:val="0"/>
                <w:sz w:val="24"/>
                <w:szCs w:val="24"/>
              </w:rPr>
              <w:t>城市建设与安全工程学院</w:t>
            </w:r>
          </w:p>
        </w:tc>
        <w:tc>
          <w:tcPr>
            <w:tcW w:w="3544" w:type="dxa"/>
          </w:tcPr>
          <w:p>
            <w:pPr>
              <w:spacing w:line="360" w:lineRule="auto"/>
              <w:rPr>
                <w:rFonts w:ascii="宋体" w:hAnsi="宋体" w:eastAsia="宋体" w:cs="Times New Roman"/>
                <w:kern w:val="0"/>
                <w:sz w:val="24"/>
                <w:szCs w:val="24"/>
              </w:rPr>
            </w:pPr>
            <w:r>
              <w:rPr>
                <w:rFonts w:hint="eastAsia" w:ascii="宋体" w:hAnsi="宋体" w:eastAsia="宋体" w:cs="Times New Roman"/>
                <w:kern w:val="0"/>
                <w:sz w:val="24"/>
                <w:szCs w:val="24"/>
              </w:rPr>
              <w:t>7.城市建设领航团队</w:t>
            </w:r>
          </w:p>
          <w:p>
            <w:pPr>
              <w:spacing w:line="360" w:lineRule="auto"/>
              <w:rPr>
                <w:rFonts w:ascii="宋体" w:hAnsi="宋体" w:eastAsia="宋体" w:cs="Times New Roman"/>
                <w:kern w:val="0"/>
                <w:sz w:val="24"/>
                <w:szCs w:val="24"/>
              </w:rPr>
            </w:pPr>
            <w:r>
              <w:rPr>
                <w:rFonts w:hint="eastAsia" w:ascii="宋体" w:hAnsi="宋体" w:eastAsia="宋体" w:cs="Times New Roman"/>
                <w:kern w:val="0"/>
                <w:sz w:val="24"/>
                <w:szCs w:val="24"/>
              </w:rPr>
              <w:t>8.安全管理领航团队</w:t>
            </w:r>
          </w:p>
        </w:tc>
        <w:tc>
          <w:tcPr>
            <w:tcW w:w="2805" w:type="dxa"/>
          </w:tcPr>
          <w:p>
            <w:pPr>
              <w:spacing w:line="360" w:lineRule="auto"/>
              <w:rPr>
                <w:rFonts w:ascii="宋体" w:hAnsi="宋体" w:eastAsia="宋体" w:cs="Times New Roman"/>
                <w:kern w:val="0"/>
                <w:sz w:val="24"/>
                <w:szCs w:val="24"/>
              </w:rPr>
            </w:pPr>
            <w:r>
              <w:rPr>
                <w:rFonts w:hint="eastAsia" w:ascii="宋体" w:hAnsi="宋体" w:eastAsia="宋体" w:cs="Times New Roman"/>
                <w:kern w:val="0"/>
                <w:sz w:val="24"/>
                <w:szCs w:val="24"/>
              </w:rPr>
              <w:t>土木工程概论、路基工程、安全法学等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518" w:type="dxa"/>
            <w:vAlign w:val="center"/>
          </w:tcPr>
          <w:p>
            <w:pPr>
              <w:spacing w:line="360" w:lineRule="auto"/>
              <w:jc w:val="center"/>
              <w:rPr>
                <w:rFonts w:ascii="宋体" w:hAnsi="宋体" w:eastAsia="宋体" w:cs="Times New Roman"/>
                <w:kern w:val="0"/>
                <w:sz w:val="24"/>
                <w:szCs w:val="24"/>
              </w:rPr>
            </w:pPr>
            <w:r>
              <w:rPr>
                <w:rFonts w:hint="eastAsia" w:ascii="宋体" w:hAnsi="宋体" w:eastAsia="宋体" w:cs="Times New Roman"/>
                <w:kern w:val="0"/>
                <w:sz w:val="24"/>
                <w:szCs w:val="24"/>
              </w:rPr>
              <w:t>生态技术与工程学院</w:t>
            </w:r>
          </w:p>
        </w:tc>
        <w:tc>
          <w:tcPr>
            <w:tcW w:w="3544" w:type="dxa"/>
          </w:tcPr>
          <w:p>
            <w:pPr>
              <w:spacing w:line="360" w:lineRule="auto"/>
              <w:rPr>
                <w:rFonts w:ascii="宋体" w:hAnsi="宋体" w:eastAsia="宋体" w:cs="Times New Roman"/>
                <w:kern w:val="0"/>
                <w:sz w:val="24"/>
                <w:szCs w:val="24"/>
              </w:rPr>
            </w:pPr>
            <w:r>
              <w:rPr>
                <w:rFonts w:hint="eastAsia" w:ascii="宋体" w:hAnsi="宋体" w:eastAsia="宋体" w:cs="Times New Roman"/>
                <w:kern w:val="0"/>
                <w:sz w:val="24"/>
                <w:szCs w:val="24"/>
              </w:rPr>
              <w:t>9.风景园林领航团队</w:t>
            </w:r>
          </w:p>
          <w:p>
            <w:pPr>
              <w:spacing w:line="360" w:lineRule="auto"/>
              <w:rPr>
                <w:rFonts w:ascii="宋体" w:hAnsi="宋体" w:eastAsia="宋体" w:cs="Times New Roman"/>
                <w:kern w:val="0"/>
                <w:sz w:val="24"/>
                <w:szCs w:val="24"/>
              </w:rPr>
            </w:pPr>
            <w:r>
              <w:rPr>
                <w:rFonts w:hint="eastAsia" w:ascii="宋体" w:hAnsi="宋体" w:eastAsia="宋体" w:cs="Times New Roman"/>
                <w:kern w:val="0"/>
                <w:sz w:val="24"/>
                <w:szCs w:val="24"/>
              </w:rPr>
              <w:t>10.生态园艺领航团队</w:t>
            </w:r>
          </w:p>
        </w:tc>
        <w:tc>
          <w:tcPr>
            <w:tcW w:w="2805" w:type="dxa"/>
          </w:tcPr>
          <w:p>
            <w:pPr>
              <w:spacing w:line="360" w:lineRule="auto"/>
              <w:rPr>
                <w:rFonts w:ascii="宋体" w:hAnsi="宋体" w:eastAsia="宋体" w:cs="Times New Roman"/>
                <w:kern w:val="0"/>
                <w:sz w:val="24"/>
                <w:szCs w:val="24"/>
              </w:rPr>
            </w:pPr>
            <w:r>
              <w:rPr>
                <w:rFonts w:hint="eastAsia" w:ascii="宋体" w:hAnsi="宋体" w:eastAsia="宋体" w:cs="Times New Roman"/>
                <w:kern w:val="0"/>
                <w:sz w:val="24"/>
                <w:szCs w:val="24"/>
              </w:rPr>
              <w:t>园林工程、风景园林学导论、植物学、果树学等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518" w:type="dxa"/>
            <w:vAlign w:val="center"/>
          </w:tcPr>
          <w:p>
            <w:pPr>
              <w:spacing w:line="360" w:lineRule="auto"/>
              <w:jc w:val="center"/>
              <w:rPr>
                <w:rFonts w:ascii="宋体" w:hAnsi="宋体" w:eastAsia="宋体" w:cs="Times New Roman"/>
                <w:kern w:val="0"/>
                <w:sz w:val="24"/>
                <w:szCs w:val="24"/>
              </w:rPr>
            </w:pPr>
            <w:r>
              <w:rPr>
                <w:rFonts w:hint="eastAsia" w:ascii="宋体" w:hAnsi="宋体" w:eastAsia="宋体" w:cs="Times New Roman"/>
                <w:kern w:val="0"/>
                <w:sz w:val="24"/>
                <w:szCs w:val="24"/>
              </w:rPr>
              <w:t>经济与管理学院</w:t>
            </w:r>
          </w:p>
        </w:tc>
        <w:tc>
          <w:tcPr>
            <w:tcW w:w="3544" w:type="dxa"/>
          </w:tcPr>
          <w:p>
            <w:pPr>
              <w:spacing w:line="360" w:lineRule="auto"/>
              <w:rPr>
                <w:rFonts w:ascii="宋体" w:hAnsi="宋体" w:eastAsia="宋体" w:cs="Times New Roman"/>
                <w:kern w:val="0"/>
                <w:sz w:val="24"/>
                <w:szCs w:val="24"/>
              </w:rPr>
            </w:pPr>
            <w:r>
              <w:rPr>
                <w:rFonts w:hint="eastAsia" w:ascii="宋体" w:hAnsi="宋体" w:eastAsia="宋体" w:cs="Times New Roman"/>
                <w:kern w:val="0"/>
                <w:sz w:val="24"/>
                <w:szCs w:val="24"/>
              </w:rPr>
              <w:t>11.知识产权管理领航团队</w:t>
            </w:r>
          </w:p>
          <w:p>
            <w:pPr>
              <w:spacing w:line="360" w:lineRule="auto"/>
              <w:rPr>
                <w:rFonts w:ascii="宋体" w:hAnsi="宋体" w:eastAsia="宋体" w:cs="Times New Roman"/>
                <w:kern w:val="0"/>
                <w:sz w:val="24"/>
                <w:szCs w:val="24"/>
              </w:rPr>
            </w:pPr>
            <w:r>
              <w:rPr>
                <w:rFonts w:hint="eastAsia" w:ascii="宋体" w:hAnsi="宋体" w:eastAsia="宋体" w:cs="Times New Roman"/>
                <w:kern w:val="0"/>
                <w:sz w:val="24"/>
                <w:szCs w:val="24"/>
              </w:rPr>
              <w:t>12.创业理论与实践领航团队</w:t>
            </w:r>
          </w:p>
        </w:tc>
        <w:tc>
          <w:tcPr>
            <w:tcW w:w="2805" w:type="dxa"/>
          </w:tcPr>
          <w:p>
            <w:pPr>
              <w:spacing w:line="360" w:lineRule="auto"/>
              <w:rPr>
                <w:rFonts w:ascii="宋体" w:hAnsi="宋体" w:eastAsia="宋体" w:cs="Times New Roman"/>
                <w:kern w:val="0"/>
                <w:sz w:val="24"/>
                <w:szCs w:val="24"/>
              </w:rPr>
            </w:pPr>
            <w:r>
              <w:rPr>
                <w:rFonts w:hint="eastAsia" w:ascii="宋体" w:hAnsi="宋体" w:eastAsia="宋体" w:cs="Times New Roman"/>
                <w:kern w:val="0"/>
                <w:sz w:val="24"/>
                <w:szCs w:val="24"/>
              </w:rPr>
              <w:t>创业学、智慧的财富化机器管理、工程经济学等</w:t>
            </w:r>
          </w:p>
        </w:tc>
      </w:tr>
    </w:tbl>
    <w:p>
      <w:pPr>
        <w:adjustRightInd w:val="0"/>
        <w:snapToGrid w:val="0"/>
        <w:spacing w:line="360" w:lineRule="auto"/>
        <w:ind w:firstLine="413" w:firstLineChars="147"/>
        <w:rPr>
          <w:rFonts w:ascii="宋体" w:hAnsi="宋体" w:eastAsia="宋体" w:cstheme="minorEastAsia"/>
          <w:b/>
          <w:color w:val="000000"/>
          <w:kern w:val="0"/>
          <w:sz w:val="28"/>
          <w:szCs w:val="28"/>
        </w:rPr>
      </w:pPr>
    </w:p>
    <w:p>
      <w:pPr>
        <w:adjustRightInd w:val="0"/>
        <w:snapToGrid w:val="0"/>
        <w:spacing w:line="360" w:lineRule="auto"/>
        <w:ind w:firstLine="411" w:firstLineChars="147"/>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2.</w:t>
      </w:r>
      <w:r>
        <w:rPr>
          <w:rFonts w:ascii="宋体" w:hAnsi="宋体" w:eastAsia="宋体" w:cstheme="minorEastAsia"/>
          <w:color w:val="000000"/>
          <w:kern w:val="0"/>
          <w:sz w:val="28"/>
          <w:szCs w:val="28"/>
        </w:rPr>
        <w:t>建设</w:t>
      </w:r>
      <w:r>
        <w:rPr>
          <w:rFonts w:hint="eastAsia" w:ascii="宋体" w:hAnsi="宋体" w:eastAsia="宋体" w:cstheme="minorEastAsia"/>
          <w:color w:val="000000"/>
          <w:kern w:val="0"/>
          <w:sz w:val="28"/>
          <w:szCs w:val="28"/>
        </w:rPr>
        <w:t>重点</w:t>
      </w:r>
    </w:p>
    <w:p>
      <w:pPr>
        <w:adjustRightInd w:val="0"/>
        <w:snapToGrid w:val="0"/>
        <w:spacing w:line="360" w:lineRule="auto"/>
        <w:ind w:firstLine="411" w:firstLineChars="147"/>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(1)编制课程思政教学指南2.0版</w:t>
      </w:r>
    </w:p>
    <w:p>
      <w:pPr>
        <w:adjustRightInd w:val="0"/>
        <w:snapToGrid w:val="0"/>
        <w:spacing w:line="360" w:lineRule="auto"/>
        <w:ind w:firstLine="420" w:firstLineChars="150"/>
        <w:rPr>
          <w:rFonts w:ascii="宋体" w:hAnsi="宋体" w:eastAsia="宋体"/>
          <w:sz w:val="28"/>
          <w:szCs w:val="28"/>
        </w:rPr>
      </w:pPr>
      <w:r>
        <w:rPr>
          <w:rFonts w:hint="eastAsia" w:ascii="宋体" w:hAnsi="宋体" w:eastAsia="宋体"/>
          <w:sz w:val="28"/>
          <w:szCs w:val="28"/>
        </w:rPr>
        <w:t>在</w:t>
      </w:r>
      <w:r>
        <w:rPr>
          <w:rFonts w:ascii="宋体" w:hAnsi="宋体" w:eastAsia="宋体"/>
          <w:sz w:val="28"/>
          <w:szCs w:val="28"/>
        </w:rPr>
        <w:t>学校已经制定的《</w:t>
      </w:r>
      <w:r>
        <w:rPr>
          <w:rFonts w:hint="eastAsia" w:ascii="宋体" w:hAnsi="宋体" w:eastAsia="宋体"/>
          <w:sz w:val="28"/>
          <w:szCs w:val="28"/>
        </w:rPr>
        <w:t>上海应用技术</w:t>
      </w:r>
      <w:r>
        <w:rPr>
          <w:rFonts w:ascii="宋体" w:hAnsi="宋体" w:eastAsia="宋体"/>
          <w:sz w:val="28"/>
          <w:szCs w:val="28"/>
        </w:rPr>
        <w:t>大学课程思政教学指南》</w:t>
      </w:r>
      <w:r>
        <w:rPr>
          <w:rFonts w:hint="eastAsia" w:ascii="宋体" w:hAnsi="宋体" w:eastAsia="宋体"/>
          <w:sz w:val="28"/>
          <w:szCs w:val="28"/>
        </w:rPr>
        <w:t>的</w:t>
      </w:r>
      <w:r>
        <w:rPr>
          <w:rFonts w:ascii="宋体" w:hAnsi="宋体" w:eastAsia="宋体"/>
          <w:sz w:val="28"/>
          <w:szCs w:val="28"/>
        </w:rPr>
        <w:t>基础上，按照“</w:t>
      </w:r>
      <w:r>
        <w:rPr>
          <w:rFonts w:hint="eastAsia" w:ascii="宋体" w:hAnsi="宋体" w:eastAsia="宋体"/>
          <w:sz w:val="28"/>
          <w:szCs w:val="28"/>
        </w:rPr>
        <w:t>自上而下</w:t>
      </w:r>
      <w:r>
        <w:rPr>
          <w:rFonts w:ascii="宋体" w:hAnsi="宋体" w:eastAsia="宋体"/>
          <w:sz w:val="28"/>
          <w:szCs w:val="28"/>
        </w:rPr>
        <w:t>”</w:t>
      </w:r>
      <w:r>
        <w:rPr>
          <w:rFonts w:hint="eastAsia" w:ascii="宋体" w:hAnsi="宋体" w:eastAsia="宋体"/>
          <w:sz w:val="28"/>
          <w:szCs w:val="28"/>
        </w:rPr>
        <w:t>和</w:t>
      </w:r>
      <w:r>
        <w:rPr>
          <w:rFonts w:ascii="宋体" w:hAnsi="宋体" w:eastAsia="宋体"/>
          <w:sz w:val="28"/>
          <w:szCs w:val="28"/>
        </w:rPr>
        <w:t>“</w:t>
      </w:r>
      <w:r>
        <w:rPr>
          <w:rFonts w:hint="eastAsia" w:ascii="宋体" w:hAnsi="宋体" w:eastAsia="宋体"/>
          <w:sz w:val="28"/>
          <w:szCs w:val="28"/>
        </w:rPr>
        <w:t>自下而上</w:t>
      </w:r>
      <w:r>
        <w:rPr>
          <w:rFonts w:ascii="宋体" w:hAnsi="宋体" w:eastAsia="宋体"/>
          <w:sz w:val="28"/>
          <w:szCs w:val="28"/>
        </w:rPr>
        <w:t>”</w:t>
      </w:r>
      <w:r>
        <w:rPr>
          <w:rFonts w:hint="eastAsia" w:ascii="宋体" w:hAnsi="宋体" w:eastAsia="宋体"/>
          <w:sz w:val="28"/>
          <w:szCs w:val="28"/>
        </w:rPr>
        <w:t>两种路径进一步</w:t>
      </w:r>
      <w:r>
        <w:rPr>
          <w:rFonts w:ascii="宋体" w:hAnsi="宋体" w:eastAsia="宋体"/>
          <w:sz w:val="28"/>
          <w:szCs w:val="28"/>
        </w:rPr>
        <w:t>完善</w:t>
      </w:r>
      <w:r>
        <w:rPr>
          <w:rFonts w:hint="eastAsia" w:ascii="宋体" w:hAnsi="宋体" w:eastAsia="宋体"/>
          <w:sz w:val="28"/>
          <w:szCs w:val="28"/>
        </w:rPr>
        <w:t>课程</w:t>
      </w:r>
      <w:r>
        <w:rPr>
          <w:rFonts w:ascii="宋体" w:hAnsi="宋体" w:eastAsia="宋体"/>
          <w:sz w:val="28"/>
          <w:szCs w:val="28"/>
        </w:rPr>
        <w:t>思政的</w:t>
      </w:r>
      <w:r>
        <w:rPr>
          <w:rFonts w:hint="eastAsia" w:ascii="宋体" w:hAnsi="宋体" w:eastAsia="宋体"/>
          <w:sz w:val="28"/>
          <w:szCs w:val="28"/>
        </w:rPr>
        <w:t>原则</w:t>
      </w:r>
      <w:r>
        <w:rPr>
          <w:rFonts w:ascii="宋体" w:hAnsi="宋体" w:eastAsia="宋体"/>
          <w:sz w:val="28"/>
          <w:szCs w:val="28"/>
        </w:rPr>
        <w:t>、方法和操作规范，</w:t>
      </w:r>
      <w:r>
        <w:rPr>
          <w:rFonts w:hint="eastAsia" w:ascii="宋体" w:hAnsi="宋体" w:eastAsia="宋体"/>
          <w:sz w:val="28"/>
          <w:szCs w:val="28"/>
        </w:rPr>
        <w:t>为教师</w:t>
      </w:r>
      <w:r>
        <w:rPr>
          <w:rFonts w:ascii="宋体" w:hAnsi="宋体" w:eastAsia="宋体"/>
          <w:sz w:val="28"/>
          <w:szCs w:val="28"/>
        </w:rPr>
        <w:t>开展课程思政教学改革提供</w:t>
      </w:r>
      <w:r>
        <w:rPr>
          <w:rFonts w:hint="eastAsia" w:ascii="宋体" w:hAnsi="宋体" w:eastAsia="宋体"/>
          <w:sz w:val="28"/>
          <w:szCs w:val="28"/>
        </w:rPr>
        <w:t>指南</w:t>
      </w:r>
      <w:r>
        <w:rPr>
          <w:rFonts w:ascii="宋体" w:hAnsi="宋体" w:eastAsia="宋体"/>
          <w:sz w:val="28"/>
          <w:szCs w:val="28"/>
        </w:rPr>
        <w:t>和示范。</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cstheme="minorEastAsia"/>
          <w:color w:val="000000"/>
          <w:kern w:val="0"/>
          <w:sz w:val="28"/>
          <w:szCs w:val="28"/>
        </w:rPr>
        <w:t>一是自上而下</w:t>
      </w:r>
      <w:r>
        <w:rPr>
          <w:rFonts w:ascii="宋体" w:hAnsi="宋体" w:eastAsia="宋体" w:cstheme="minorEastAsia"/>
          <w:color w:val="000000"/>
          <w:kern w:val="0"/>
          <w:sz w:val="28"/>
          <w:szCs w:val="28"/>
        </w:rPr>
        <w:t>强化课程思政教学改革的系统性、科学性和规范性。</w:t>
      </w:r>
      <w:r>
        <w:rPr>
          <w:rFonts w:hint="eastAsia" w:ascii="宋体" w:hAnsi="宋体" w:eastAsia="宋体"/>
          <w:sz w:val="28"/>
          <w:szCs w:val="28"/>
        </w:rPr>
        <w:t>从学校</w:t>
      </w:r>
      <w:r>
        <w:rPr>
          <w:rFonts w:ascii="宋体" w:hAnsi="宋体" w:eastAsia="宋体"/>
          <w:sz w:val="28"/>
          <w:szCs w:val="28"/>
        </w:rPr>
        <w:t>的办学定位出发，</w:t>
      </w:r>
      <w:r>
        <w:rPr>
          <w:rFonts w:hint="eastAsia" w:ascii="宋体" w:hAnsi="宋体" w:eastAsia="宋体"/>
          <w:sz w:val="28"/>
          <w:szCs w:val="28"/>
        </w:rPr>
        <w:t>在</w:t>
      </w:r>
      <w:r>
        <w:rPr>
          <w:rFonts w:ascii="宋体" w:hAnsi="宋体" w:eastAsia="宋体"/>
          <w:sz w:val="28"/>
          <w:szCs w:val="28"/>
        </w:rPr>
        <w:t>目标、原则和路径方面进一步</w:t>
      </w:r>
      <w:r>
        <w:rPr>
          <w:rFonts w:hint="eastAsia" w:ascii="宋体" w:hAnsi="宋体" w:eastAsia="宋体"/>
          <w:sz w:val="28"/>
          <w:szCs w:val="28"/>
        </w:rPr>
        <w:t>明确</w:t>
      </w:r>
      <w:r>
        <w:rPr>
          <w:rFonts w:ascii="宋体" w:hAnsi="宋体" w:eastAsia="宋体"/>
          <w:sz w:val="28"/>
          <w:szCs w:val="28"/>
        </w:rPr>
        <w:t>指导意见</w:t>
      </w:r>
      <w:r>
        <w:rPr>
          <w:rFonts w:hint="eastAsia" w:ascii="宋体" w:hAnsi="宋体" w:eastAsia="宋体"/>
          <w:sz w:val="28"/>
          <w:szCs w:val="28"/>
        </w:rPr>
        <w:t>，</w:t>
      </w:r>
      <w:r>
        <w:rPr>
          <w:rFonts w:ascii="宋体" w:hAnsi="宋体" w:eastAsia="宋体"/>
          <w:sz w:val="28"/>
          <w:szCs w:val="28"/>
        </w:rPr>
        <w:t>形成专门的规范。</w:t>
      </w:r>
      <w:r>
        <w:rPr>
          <w:rFonts w:hint="eastAsia" w:ascii="宋体" w:hAnsi="宋体" w:eastAsia="宋体"/>
          <w:sz w:val="28"/>
          <w:szCs w:val="28"/>
        </w:rPr>
        <w:t>以专业认证的OBE理念（Outcomes-based Education，基于学习产出的教育模式）驱动课程思政教学改革，指导各专业在人才培养目标中体现“应用型人才核心素养总体框架”的要求，在毕业要求中突出未来工程师“ASciT（爱科技）”核心能力素养，在课程体系上注重各门课程对思政教育目标的协同支撑，在教学大纲中注重育德元素的有效融入，在课程考核中关注育德目标的达成，形成</w:t>
      </w:r>
      <w:r>
        <w:rPr>
          <w:rFonts w:ascii="宋体" w:hAnsi="宋体" w:eastAsia="宋体"/>
          <w:sz w:val="28"/>
          <w:szCs w:val="28"/>
        </w:rPr>
        <w:t>指导各专业开展课程思政教学改革的</w:t>
      </w:r>
      <w:r>
        <w:rPr>
          <w:rFonts w:hint="eastAsia" w:ascii="宋体" w:hAnsi="宋体" w:eastAsia="宋体"/>
          <w:sz w:val="28"/>
          <w:szCs w:val="28"/>
        </w:rPr>
        <w:t>系统</w:t>
      </w:r>
      <w:r>
        <w:rPr>
          <w:rFonts w:ascii="宋体" w:hAnsi="宋体" w:eastAsia="宋体"/>
          <w:sz w:val="28"/>
          <w:szCs w:val="28"/>
        </w:rPr>
        <w:t>流程。</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cstheme="minorEastAsia"/>
          <w:color w:val="000000"/>
          <w:kern w:val="0"/>
          <w:sz w:val="28"/>
          <w:szCs w:val="28"/>
        </w:rPr>
        <w:t>二是</w:t>
      </w:r>
      <w:r>
        <w:rPr>
          <w:rFonts w:ascii="宋体" w:hAnsi="宋体" w:eastAsia="宋体" w:cstheme="minorEastAsia"/>
          <w:color w:val="000000"/>
          <w:kern w:val="0"/>
          <w:sz w:val="28"/>
          <w:szCs w:val="28"/>
        </w:rPr>
        <w:t>自下而上</w:t>
      </w:r>
      <w:r>
        <w:rPr>
          <w:rFonts w:hint="eastAsia" w:ascii="宋体" w:hAnsi="宋体" w:eastAsia="宋体" w:cstheme="minorEastAsia"/>
          <w:color w:val="000000"/>
          <w:kern w:val="0"/>
          <w:sz w:val="28"/>
          <w:szCs w:val="28"/>
        </w:rPr>
        <w:t>挖掘</w:t>
      </w:r>
      <w:r>
        <w:rPr>
          <w:rFonts w:ascii="宋体" w:hAnsi="宋体" w:eastAsia="宋体" w:cstheme="minorEastAsia"/>
          <w:color w:val="000000"/>
          <w:kern w:val="0"/>
          <w:sz w:val="28"/>
          <w:szCs w:val="28"/>
        </w:rPr>
        <w:t>育人</w:t>
      </w:r>
      <w:r>
        <w:rPr>
          <w:rFonts w:hint="eastAsia" w:ascii="宋体" w:hAnsi="宋体" w:eastAsia="宋体" w:cstheme="minorEastAsia"/>
          <w:color w:val="000000"/>
          <w:kern w:val="0"/>
          <w:sz w:val="28"/>
          <w:szCs w:val="28"/>
        </w:rPr>
        <w:t>要素</w:t>
      </w:r>
      <w:r>
        <w:rPr>
          <w:rFonts w:ascii="宋体" w:hAnsi="宋体" w:eastAsia="宋体" w:cstheme="minorEastAsia"/>
          <w:color w:val="000000"/>
          <w:kern w:val="0"/>
          <w:sz w:val="28"/>
          <w:szCs w:val="28"/>
        </w:rPr>
        <w:t>，</w:t>
      </w:r>
      <w:r>
        <w:rPr>
          <w:rFonts w:hint="eastAsia" w:ascii="宋体" w:hAnsi="宋体" w:eastAsia="宋体" w:cstheme="minorEastAsia"/>
          <w:color w:val="000000"/>
          <w:kern w:val="0"/>
          <w:sz w:val="28"/>
          <w:szCs w:val="28"/>
        </w:rPr>
        <w:t>编制不同专业</w:t>
      </w:r>
      <w:r>
        <w:rPr>
          <w:rFonts w:ascii="宋体" w:hAnsi="宋体" w:eastAsia="宋体" w:cstheme="minorEastAsia"/>
          <w:color w:val="000000"/>
          <w:kern w:val="0"/>
          <w:sz w:val="28"/>
          <w:szCs w:val="28"/>
        </w:rPr>
        <w:t>的课程思政</w:t>
      </w:r>
      <w:r>
        <w:rPr>
          <w:rFonts w:hint="eastAsia" w:ascii="宋体" w:hAnsi="宋体" w:eastAsia="宋体" w:cstheme="minorEastAsia"/>
          <w:color w:val="000000"/>
          <w:kern w:val="0"/>
          <w:sz w:val="28"/>
          <w:szCs w:val="28"/>
        </w:rPr>
        <w:t>教学</w:t>
      </w:r>
      <w:r>
        <w:rPr>
          <w:rFonts w:ascii="宋体" w:hAnsi="宋体" w:eastAsia="宋体" w:cstheme="minorEastAsia"/>
          <w:color w:val="000000"/>
          <w:kern w:val="0"/>
          <w:sz w:val="28"/>
          <w:szCs w:val="28"/>
        </w:rPr>
        <w:t>指南。</w:t>
      </w:r>
      <w:r>
        <w:rPr>
          <w:rFonts w:hint="eastAsia" w:ascii="宋体" w:hAnsi="宋体" w:eastAsia="宋体"/>
          <w:sz w:val="28"/>
          <w:szCs w:val="28"/>
        </w:rPr>
        <w:t>进一步</w:t>
      </w:r>
      <w:r>
        <w:rPr>
          <w:rFonts w:ascii="宋体" w:hAnsi="宋体" w:eastAsia="宋体"/>
          <w:sz w:val="28"/>
          <w:szCs w:val="28"/>
        </w:rPr>
        <w:t>总结领航</w:t>
      </w:r>
      <w:r>
        <w:rPr>
          <w:rFonts w:hint="eastAsia" w:ascii="宋体" w:hAnsi="宋体" w:eastAsia="宋体"/>
          <w:sz w:val="28"/>
          <w:szCs w:val="28"/>
        </w:rPr>
        <w:t>学院</w:t>
      </w:r>
      <w:r>
        <w:rPr>
          <w:rFonts w:ascii="宋体" w:hAnsi="宋体" w:eastAsia="宋体"/>
          <w:sz w:val="28"/>
          <w:szCs w:val="28"/>
        </w:rPr>
        <w:t>、领航团队的</w:t>
      </w:r>
      <w:r>
        <w:rPr>
          <w:rFonts w:hint="eastAsia" w:ascii="宋体" w:hAnsi="宋体" w:eastAsia="宋体"/>
          <w:sz w:val="28"/>
          <w:szCs w:val="28"/>
        </w:rPr>
        <w:t>课程</w:t>
      </w:r>
      <w:r>
        <w:rPr>
          <w:rFonts w:ascii="宋体" w:hAnsi="宋体" w:eastAsia="宋体"/>
          <w:sz w:val="28"/>
          <w:szCs w:val="28"/>
        </w:rPr>
        <w:t>思政经验，系统</w:t>
      </w:r>
      <w:r>
        <w:rPr>
          <w:rFonts w:hint="eastAsia" w:ascii="宋体" w:hAnsi="宋体" w:eastAsia="宋体"/>
          <w:sz w:val="28"/>
          <w:szCs w:val="28"/>
        </w:rPr>
        <w:t>梳理</w:t>
      </w:r>
      <w:r>
        <w:rPr>
          <w:rFonts w:ascii="宋体" w:hAnsi="宋体" w:eastAsia="宋体"/>
          <w:sz w:val="28"/>
          <w:szCs w:val="28"/>
        </w:rPr>
        <w:t>不同专业</w:t>
      </w:r>
      <w:r>
        <w:rPr>
          <w:rFonts w:hint="eastAsia" w:ascii="宋体" w:hAnsi="宋体" w:eastAsia="宋体"/>
          <w:sz w:val="28"/>
          <w:szCs w:val="28"/>
        </w:rPr>
        <w:t>、</w:t>
      </w:r>
      <w:r>
        <w:rPr>
          <w:rFonts w:ascii="宋体" w:hAnsi="宋体" w:eastAsia="宋体"/>
          <w:sz w:val="28"/>
          <w:szCs w:val="28"/>
        </w:rPr>
        <w:t>课程</w:t>
      </w:r>
      <w:r>
        <w:rPr>
          <w:rFonts w:hint="eastAsia" w:ascii="宋体" w:hAnsi="宋体" w:eastAsia="宋体"/>
          <w:sz w:val="28"/>
          <w:szCs w:val="28"/>
        </w:rPr>
        <w:t>所</w:t>
      </w:r>
      <w:r>
        <w:rPr>
          <w:rFonts w:ascii="宋体" w:hAnsi="宋体" w:eastAsia="宋体"/>
          <w:sz w:val="28"/>
          <w:szCs w:val="28"/>
        </w:rPr>
        <w:t>蕴含的</w:t>
      </w:r>
      <w:r>
        <w:rPr>
          <w:rFonts w:hint="eastAsia" w:ascii="宋体" w:hAnsi="宋体" w:eastAsia="宋体"/>
          <w:sz w:val="28"/>
          <w:szCs w:val="28"/>
        </w:rPr>
        <w:t>现实价值</w:t>
      </w:r>
      <w:r>
        <w:rPr>
          <w:rFonts w:ascii="宋体" w:hAnsi="宋体" w:eastAsia="宋体"/>
          <w:sz w:val="28"/>
          <w:szCs w:val="28"/>
        </w:rPr>
        <w:t>、</w:t>
      </w:r>
      <w:r>
        <w:rPr>
          <w:rFonts w:hint="eastAsia" w:ascii="宋体" w:hAnsi="宋体" w:eastAsia="宋体"/>
          <w:sz w:val="28"/>
          <w:szCs w:val="28"/>
        </w:rPr>
        <w:t>职业道德</w:t>
      </w:r>
      <w:r>
        <w:rPr>
          <w:rFonts w:ascii="宋体" w:hAnsi="宋体" w:eastAsia="宋体"/>
          <w:sz w:val="28"/>
          <w:szCs w:val="28"/>
        </w:rPr>
        <w:t>和</w:t>
      </w:r>
      <w:r>
        <w:rPr>
          <w:rFonts w:hint="eastAsia" w:ascii="宋体" w:hAnsi="宋体" w:eastAsia="宋体"/>
          <w:sz w:val="28"/>
          <w:szCs w:val="28"/>
        </w:rPr>
        <w:t>职业素养等</w:t>
      </w:r>
      <w:r>
        <w:rPr>
          <w:rFonts w:ascii="宋体" w:hAnsi="宋体" w:eastAsia="宋体"/>
          <w:sz w:val="28"/>
          <w:szCs w:val="28"/>
        </w:rPr>
        <w:t>育人要素，</w:t>
      </w:r>
      <w:r>
        <w:rPr>
          <w:rFonts w:hint="eastAsia" w:ascii="宋体" w:hAnsi="宋体" w:eastAsia="宋体"/>
          <w:sz w:val="28"/>
          <w:szCs w:val="28"/>
        </w:rPr>
        <w:t>率先编制</w:t>
      </w:r>
      <w:r>
        <w:rPr>
          <w:rFonts w:ascii="宋体" w:hAnsi="宋体" w:eastAsia="宋体"/>
          <w:sz w:val="28"/>
          <w:szCs w:val="28"/>
        </w:rPr>
        <w:t>香料香精技术与工程、化妆品技术与工程、食品科学与工程、</w:t>
      </w:r>
      <w:r>
        <w:rPr>
          <w:rFonts w:hint="eastAsia" w:ascii="宋体" w:hAnsi="宋体" w:eastAsia="宋体"/>
          <w:sz w:val="28"/>
          <w:szCs w:val="28"/>
        </w:rPr>
        <w:t>材料科学与工程</w:t>
      </w:r>
      <w:r>
        <w:rPr>
          <w:rFonts w:ascii="宋体" w:hAnsi="宋体" w:eastAsia="宋体"/>
          <w:sz w:val="28"/>
          <w:szCs w:val="28"/>
        </w:rPr>
        <w:t>等专业的课程思政教学指南，为其他专业开展课程思政提供</w:t>
      </w:r>
      <w:r>
        <w:rPr>
          <w:rFonts w:hint="eastAsia" w:ascii="宋体" w:hAnsi="宋体" w:eastAsia="宋体"/>
          <w:sz w:val="28"/>
          <w:szCs w:val="28"/>
        </w:rPr>
        <w:t>示范</w:t>
      </w:r>
      <w:r>
        <w:rPr>
          <w:rFonts w:ascii="宋体" w:hAnsi="宋体" w:eastAsia="宋体"/>
          <w:sz w:val="28"/>
          <w:szCs w:val="28"/>
        </w:rPr>
        <w:t>和借鉴。</w:t>
      </w:r>
      <w:r>
        <w:rPr>
          <w:rFonts w:hint="eastAsia" w:ascii="宋体" w:hAnsi="宋体" w:eastAsia="宋体"/>
          <w:sz w:val="28"/>
          <w:szCs w:val="28"/>
        </w:rPr>
        <w:t>通过</w:t>
      </w:r>
      <w:r>
        <w:rPr>
          <w:rFonts w:ascii="宋体" w:hAnsi="宋体" w:eastAsia="宋体"/>
          <w:sz w:val="28"/>
          <w:szCs w:val="28"/>
        </w:rPr>
        <w:t>编制</w:t>
      </w:r>
      <w:r>
        <w:rPr>
          <w:rFonts w:hint="eastAsia" w:ascii="宋体" w:hAnsi="宋体" w:eastAsia="宋体"/>
          <w:sz w:val="28"/>
          <w:szCs w:val="28"/>
        </w:rPr>
        <w:t>各专业</w:t>
      </w:r>
      <w:r>
        <w:rPr>
          <w:rFonts w:ascii="宋体" w:hAnsi="宋体" w:eastAsia="宋体"/>
          <w:sz w:val="28"/>
          <w:szCs w:val="28"/>
        </w:rPr>
        <w:t>课程</w:t>
      </w:r>
      <w:r>
        <w:rPr>
          <w:rFonts w:hint="eastAsia" w:ascii="宋体" w:hAnsi="宋体" w:eastAsia="宋体"/>
          <w:sz w:val="28"/>
          <w:szCs w:val="28"/>
        </w:rPr>
        <w:t>思政</w:t>
      </w:r>
      <w:r>
        <w:rPr>
          <w:rFonts w:ascii="宋体" w:hAnsi="宋体" w:eastAsia="宋体"/>
          <w:sz w:val="28"/>
          <w:szCs w:val="28"/>
        </w:rPr>
        <w:t>教学指南，将</w:t>
      </w:r>
      <w:r>
        <w:rPr>
          <w:rFonts w:hint="eastAsia" w:ascii="宋体" w:hAnsi="宋体" w:eastAsia="宋体"/>
          <w:sz w:val="28"/>
          <w:szCs w:val="28"/>
        </w:rPr>
        <w:t>专业育人</w:t>
      </w:r>
      <w:r>
        <w:rPr>
          <w:rFonts w:ascii="宋体" w:hAnsi="宋体" w:eastAsia="宋体"/>
          <w:sz w:val="28"/>
          <w:szCs w:val="28"/>
        </w:rPr>
        <w:t>目标和课程思政</w:t>
      </w:r>
      <w:r>
        <w:rPr>
          <w:rFonts w:hint="eastAsia" w:ascii="宋体" w:hAnsi="宋体" w:eastAsia="宋体"/>
          <w:sz w:val="28"/>
          <w:szCs w:val="28"/>
        </w:rPr>
        <w:t>的</w:t>
      </w:r>
      <w:r>
        <w:rPr>
          <w:rFonts w:ascii="宋体" w:hAnsi="宋体" w:eastAsia="宋体"/>
          <w:sz w:val="28"/>
          <w:szCs w:val="28"/>
        </w:rPr>
        <w:t>顶层内容具体到各专业的具体毕业要求之中，纳入教学大纲和教案之中，并在教学评价中予以体现。</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例如，香料香精化妆品领航团队所依托的学科具有60多年办学历史传统和优势，多项技术成果打破国际垄断，被誉为“中国调香师的摇篮”和“中国香料香精技术研发的基地”。该团队将以已有的国家香料香精化妆品质量监督检验中心、全国香料香精化妆品标准化技术委员会等国家级平台为依托，充分挖掘香料香精技术与工程和化妆品技术与工程专业所蕴含的“崇尚实践、勇于创新、爱岗敬业、诚实守信”育人要素，倡导树立专业安全意识、社会责任意识、创新创意思维，编制香料香精技术与工程和化妆品技术与工程专业课程思政教学指南。</w:t>
      </w:r>
    </w:p>
    <w:p>
      <w:pPr>
        <w:adjustRightInd w:val="0"/>
        <w:snapToGrid w:val="0"/>
        <w:spacing w:line="360" w:lineRule="auto"/>
        <w:ind w:firstLine="548" w:firstLineChars="196"/>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(2)完善相互支撑</w:t>
      </w:r>
      <w:r>
        <w:rPr>
          <w:rFonts w:ascii="宋体" w:hAnsi="宋体" w:eastAsia="宋体" w:cstheme="minorEastAsia"/>
          <w:color w:val="000000"/>
          <w:kern w:val="0"/>
          <w:sz w:val="28"/>
          <w:szCs w:val="28"/>
        </w:rPr>
        <w:t>的</w:t>
      </w:r>
      <w:r>
        <w:rPr>
          <w:rFonts w:hint="eastAsia" w:ascii="宋体" w:hAnsi="宋体" w:eastAsia="宋体" w:cstheme="minorEastAsia"/>
          <w:color w:val="000000"/>
          <w:kern w:val="0"/>
          <w:sz w:val="28"/>
          <w:szCs w:val="28"/>
        </w:rPr>
        <w:t>课程思政制度体系</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cstheme="minorEastAsia"/>
          <w:color w:val="000000"/>
          <w:kern w:val="0"/>
          <w:sz w:val="28"/>
          <w:szCs w:val="28"/>
        </w:rPr>
        <w:t>一是加强校本研修</w:t>
      </w:r>
      <w:r>
        <w:rPr>
          <w:rFonts w:ascii="宋体" w:hAnsi="宋体" w:eastAsia="宋体" w:cstheme="minorEastAsia"/>
          <w:color w:val="000000"/>
          <w:kern w:val="0"/>
          <w:sz w:val="28"/>
          <w:szCs w:val="28"/>
        </w:rPr>
        <w:t>制度</w:t>
      </w:r>
      <w:r>
        <w:rPr>
          <w:rFonts w:hint="eastAsia" w:ascii="宋体" w:hAnsi="宋体" w:eastAsia="宋体" w:cstheme="minorEastAsia"/>
          <w:color w:val="000000"/>
          <w:kern w:val="0"/>
          <w:sz w:val="28"/>
          <w:szCs w:val="28"/>
        </w:rPr>
        <w:t>。</w:t>
      </w:r>
      <w:r>
        <w:rPr>
          <w:rFonts w:hint="eastAsia" w:ascii="宋体" w:hAnsi="宋体" w:eastAsia="宋体"/>
          <w:sz w:val="28"/>
          <w:szCs w:val="28"/>
        </w:rPr>
        <w:t>依托学校的“课程思政研究中心”建立</w:t>
      </w:r>
      <w:r>
        <w:rPr>
          <w:rFonts w:hint="eastAsia" w:ascii="宋体" w:hAnsi="宋体" w:eastAsia="宋体" w:cstheme="minorEastAsia"/>
          <w:color w:val="000000"/>
          <w:kern w:val="0"/>
          <w:sz w:val="28"/>
          <w:szCs w:val="28"/>
        </w:rPr>
        <w:t>“特聘研究员制度”</w:t>
      </w:r>
      <w:r>
        <w:rPr>
          <w:rFonts w:hint="eastAsia" w:ascii="宋体" w:hAnsi="宋体" w:eastAsia="宋体"/>
          <w:sz w:val="28"/>
          <w:szCs w:val="28"/>
        </w:rPr>
        <w:t>，组织校内外专家共同研究应用技术型高校在思想政治教育中的共性要求和个性特征。完善已有</w:t>
      </w:r>
      <w:r>
        <w:rPr>
          <w:rFonts w:ascii="宋体" w:hAnsi="宋体" w:eastAsia="宋体"/>
          <w:sz w:val="28"/>
          <w:szCs w:val="28"/>
        </w:rPr>
        <w:t>的</w:t>
      </w:r>
      <w:r>
        <w:rPr>
          <w:rFonts w:hint="eastAsia" w:ascii="宋体" w:hAnsi="宋体" w:eastAsia="宋体" w:cstheme="minorEastAsia"/>
          <w:color w:val="000000"/>
          <w:kern w:val="0"/>
          <w:sz w:val="28"/>
          <w:szCs w:val="28"/>
        </w:rPr>
        <w:t>课程</w:t>
      </w:r>
      <w:r>
        <w:rPr>
          <w:rFonts w:ascii="宋体" w:hAnsi="宋体" w:eastAsia="宋体" w:cstheme="minorEastAsia"/>
          <w:color w:val="000000"/>
          <w:kern w:val="0"/>
          <w:sz w:val="28"/>
          <w:szCs w:val="28"/>
        </w:rPr>
        <w:t>思政</w:t>
      </w:r>
      <w:r>
        <w:rPr>
          <w:rFonts w:hint="eastAsia" w:ascii="宋体" w:hAnsi="宋体" w:eastAsia="宋体" w:cstheme="minorEastAsia"/>
          <w:color w:val="000000"/>
          <w:kern w:val="0"/>
          <w:sz w:val="28"/>
          <w:szCs w:val="28"/>
        </w:rPr>
        <w:t>工作坊和教师沙龙制度</w:t>
      </w:r>
      <w:r>
        <w:rPr>
          <w:rFonts w:hint="eastAsia" w:ascii="宋体" w:hAnsi="宋体" w:eastAsia="宋体"/>
          <w:sz w:val="28"/>
          <w:szCs w:val="28"/>
        </w:rPr>
        <w:t>，进一步针对不同的学科专业背景和教师发展阶段开展</w:t>
      </w:r>
      <w:r>
        <w:rPr>
          <w:rFonts w:ascii="宋体" w:hAnsi="宋体" w:eastAsia="宋体"/>
          <w:sz w:val="28"/>
          <w:szCs w:val="28"/>
        </w:rPr>
        <w:t>研修</w:t>
      </w:r>
      <w:r>
        <w:rPr>
          <w:rFonts w:hint="eastAsia" w:ascii="宋体" w:hAnsi="宋体" w:eastAsia="宋体"/>
          <w:sz w:val="28"/>
          <w:szCs w:val="28"/>
        </w:rPr>
        <w:t>。进一步</w:t>
      </w:r>
      <w:r>
        <w:rPr>
          <w:rFonts w:ascii="宋体" w:hAnsi="宋体" w:eastAsia="宋体"/>
          <w:sz w:val="28"/>
          <w:szCs w:val="28"/>
        </w:rPr>
        <w:t>完善</w:t>
      </w:r>
      <w:r>
        <w:rPr>
          <w:rFonts w:ascii="宋体" w:hAnsi="宋体" w:eastAsia="宋体" w:cstheme="minorEastAsia"/>
          <w:color w:val="000000"/>
          <w:kern w:val="0"/>
          <w:sz w:val="28"/>
          <w:szCs w:val="28"/>
        </w:rPr>
        <w:t>专业责任教授制度和核心课程责任教授制度</w:t>
      </w:r>
      <w:r>
        <w:rPr>
          <w:rFonts w:ascii="宋体" w:hAnsi="宋体" w:eastAsia="宋体"/>
          <w:sz w:val="28"/>
          <w:szCs w:val="28"/>
        </w:rPr>
        <w:t>，</w:t>
      </w:r>
      <w:r>
        <w:rPr>
          <w:rFonts w:hint="eastAsia" w:ascii="宋体" w:hAnsi="宋体" w:eastAsia="宋体"/>
          <w:sz w:val="28"/>
          <w:szCs w:val="28"/>
        </w:rPr>
        <w:t>实现</w:t>
      </w:r>
      <w:r>
        <w:rPr>
          <w:rFonts w:hint="eastAsia" w:ascii="宋体" w:hAnsi="宋体" w:eastAsia="宋体" w:cstheme="minorEastAsia"/>
          <w:color w:val="000000"/>
          <w:kern w:val="0"/>
          <w:sz w:val="28"/>
          <w:szCs w:val="28"/>
        </w:rPr>
        <w:t>“两个</w:t>
      </w:r>
      <w:r>
        <w:rPr>
          <w:rFonts w:ascii="宋体" w:hAnsi="宋体" w:eastAsia="宋体" w:cstheme="minorEastAsia"/>
          <w:color w:val="000000"/>
          <w:kern w:val="0"/>
          <w:sz w:val="28"/>
          <w:szCs w:val="28"/>
        </w:rPr>
        <w:t>百分之百</w:t>
      </w:r>
      <w:r>
        <w:rPr>
          <w:rFonts w:hint="eastAsia" w:ascii="宋体" w:hAnsi="宋体" w:eastAsia="宋体" w:cstheme="minorEastAsia"/>
          <w:color w:val="000000"/>
          <w:kern w:val="0"/>
          <w:sz w:val="28"/>
          <w:szCs w:val="28"/>
        </w:rPr>
        <w:t>”</w:t>
      </w:r>
      <w:r>
        <w:rPr>
          <w:rFonts w:hint="eastAsia" w:ascii="宋体" w:hAnsi="宋体" w:eastAsia="宋体"/>
          <w:sz w:val="28"/>
          <w:szCs w:val="28"/>
        </w:rPr>
        <w:t>（专业</w:t>
      </w:r>
      <w:r>
        <w:rPr>
          <w:rFonts w:ascii="宋体" w:hAnsi="宋体" w:eastAsia="宋体"/>
          <w:sz w:val="28"/>
          <w:szCs w:val="28"/>
        </w:rPr>
        <w:t>责任教授百分之百担任</w:t>
      </w:r>
      <w:r>
        <w:rPr>
          <w:rFonts w:hint="eastAsia" w:ascii="宋体" w:hAnsi="宋体" w:eastAsia="宋体"/>
          <w:sz w:val="28"/>
          <w:szCs w:val="28"/>
        </w:rPr>
        <w:t>领航</w:t>
      </w:r>
      <w:r>
        <w:rPr>
          <w:rFonts w:ascii="宋体" w:hAnsi="宋体" w:eastAsia="宋体"/>
          <w:sz w:val="28"/>
          <w:szCs w:val="28"/>
        </w:rPr>
        <w:t>团队负责人，课程责任教授百分之百担任</w:t>
      </w:r>
      <w:r>
        <w:rPr>
          <w:rFonts w:hint="eastAsia" w:ascii="宋体" w:hAnsi="宋体" w:eastAsia="宋体"/>
          <w:sz w:val="28"/>
          <w:szCs w:val="28"/>
        </w:rPr>
        <w:t>领航课程负责人）。完善</w:t>
      </w:r>
      <w:r>
        <w:rPr>
          <w:rFonts w:hint="eastAsia" w:ascii="宋体" w:hAnsi="宋体" w:eastAsia="宋体" w:cstheme="minorEastAsia"/>
          <w:color w:val="000000"/>
          <w:kern w:val="0"/>
          <w:sz w:val="28"/>
          <w:szCs w:val="28"/>
        </w:rPr>
        <w:t>跨学科教学</w:t>
      </w:r>
      <w:r>
        <w:rPr>
          <w:rFonts w:ascii="宋体" w:hAnsi="宋体" w:eastAsia="宋体" w:cstheme="minorEastAsia"/>
          <w:color w:val="000000"/>
          <w:kern w:val="0"/>
          <w:sz w:val="28"/>
          <w:szCs w:val="28"/>
        </w:rPr>
        <w:t>团队建设制度</w:t>
      </w:r>
      <w:r>
        <w:rPr>
          <w:rFonts w:ascii="宋体" w:hAnsi="宋体" w:eastAsia="宋体"/>
          <w:sz w:val="28"/>
          <w:szCs w:val="28"/>
        </w:rPr>
        <w:t>，</w:t>
      </w:r>
      <w:r>
        <w:rPr>
          <w:rFonts w:hint="eastAsia" w:ascii="宋体" w:hAnsi="宋体" w:eastAsia="宋体"/>
          <w:sz w:val="28"/>
          <w:szCs w:val="28"/>
        </w:rPr>
        <w:t>鼓励</w:t>
      </w:r>
      <w:r>
        <w:rPr>
          <w:rFonts w:ascii="宋体" w:hAnsi="宋体" w:eastAsia="宋体"/>
          <w:sz w:val="28"/>
          <w:szCs w:val="28"/>
        </w:rPr>
        <w:t>校内不同学科教师“</w:t>
      </w:r>
      <w:r>
        <w:rPr>
          <w:rFonts w:hint="eastAsia" w:ascii="宋体" w:hAnsi="宋体" w:eastAsia="宋体"/>
          <w:sz w:val="28"/>
          <w:szCs w:val="28"/>
        </w:rPr>
        <w:t>联盟</w:t>
      </w:r>
      <w:r>
        <w:rPr>
          <w:rFonts w:ascii="宋体" w:hAnsi="宋体" w:eastAsia="宋体"/>
          <w:sz w:val="28"/>
          <w:szCs w:val="28"/>
        </w:rPr>
        <w:t>”</w:t>
      </w:r>
      <w:r>
        <w:rPr>
          <w:rFonts w:hint="eastAsia" w:ascii="宋体" w:hAnsi="宋体" w:eastAsia="宋体"/>
          <w:sz w:val="28"/>
          <w:szCs w:val="28"/>
        </w:rPr>
        <w:t>、</w:t>
      </w:r>
      <w:r>
        <w:rPr>
          <w:rFonts w:ascii="宋体" w:hAnsi="宋体" w:eastAsia="宋体"/>
          <w:sz w:val="28"/>
          <w:szCs w:val="28"/>
        </w:rPr>
        <w:t>校内外专家教授“</w:t>
      </w:r>
      <w:r>
        <w:rPr>
          <w:rFonts w:hint="eastAsia" w:ascii="宋体" w:hAnsi="宋体" w:eastAsia="宋体"/>
          <w:sz w:val="28"/>
          <w:szCs w:val="28"/>
        </w:rPr>
        <w:t>结盟</w:t>
      </w:r>
      <w:r>
        <w:rPr>
          <w:rFonts w:ascii="宋体" w:hAnsi="宋体" w:eastAsia="宋体"/>
          <w:sz w:val="28"/>
          <w:szCs w:val="28"/>
        </w:rPr>
        <w:t>”，</w:t>
      </w:r>
      <w:r>
        <w:rPr>
          <w:rFonts w:hint="eastAsia" w:ascii="宋体" w:hAnsi="宋体" w:eastAsia="宋体"/>
          <w:sz w:val="28"/>
          <w:szCs w:val="28"/>
        </w:rPr>
        <w:t>鼓励思政课教师参加专业课程的备课和教研活动。</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cstheme="minorEastAsia"/>
          <w:color w:val="000000"/>
          <w:kern w:val="0"/>
          <w:sz w:val="28"/>
          <w:szCs w:val="28"/>
        </w:rPr>
        <w:t>二是完善教学管理</w:t>
      </w:r>
      <w:r>
        <w:rPr>
          <w:rFonts w:ascii="宋体" w:hAnsi="宋体" w:eastAsia="宋体" w:cstheme="minorEastAsia"/>
          <w:color w:val="000000"/>
          <w:kern w:val="0"/>
          <w:sz w:val="28"/>
          <w:szCs w:val="28"/>
        </w:rPr>
        <w:t>制度。</w:t>
      </w:r>
      <w:r>
        <w:rPr>
          <w:rFonts w:hint="eastAsia" w:ascii="宋体" w:hAnsi="宋体" w:eastAsia="宋体"/>
          <w:sz w:val="28"/>
          <w:szCs w:val="28"/>
        </w:rPr>
        <w:t>加强</w:t>
      </w:r>
      <w:r>
        <w:rPr>
          <w:rFonts w:ascii="宋体" w:hAnsi="宋体" w:eastAsia="宋体"/>
          <w:sz w:val="28"/>
          <w:szCs w:val="28"/>
        </w:rPr>
        <w:t>课程思政指导委员会、教学指导委员会和校督导组之间的</w:t>
      </w:r>
      <w:r>
        <w:rPr>
          <w:rFonts w:hint="eastAsia" w:ascii="宋体" w:hAnsi="宋体" w:eastAsia="宋体"/>
          <w:sz w:val="28"/>
          <w:szCs w:val="28"/>
        </w:rPr>
        <w:t>沟通</w:t>
      </w:r>
      <w:r>
        <w:rPr>
          <w:rFonts w:ascii="宋体" w:hAnsi="宋体" w:eastAsia="宋体"/>
          <w:sz w:val="28"/>
          <w:szCs w:val="28"/>
        </w:rPr>
        <w:t>协调</w:t>
      </w:r>
      <w:r>
        <w:rPr>
          <w:rFonts w:hint="eastAsia" w:ascii="宋体" w:hAnsi="宋体" w:eastAsia="宋体"/>
          <w:sz w:val="28"/>
          <w:szCs w:val="28"/>
        </w:rPr>
        <w:t>，完善</w:t>
      </w:r>
      <w:r>
        <w:rPr>
          <w:rFonts w:hint="eastAsia" w:ascii="宋体" w:hAnsi="宋体" w:eastAsia="宋体" w:cstheme="minorEastAsia"/>
          <w:color w:val="000000"/>
          <w:kern w:val="0"/>
          <w:sz w:val="28"/>
          <w:szCs w:val="28"/>
        </w:rPr>
        <w:t>校院两级</w:t>
      </w:r>
      <w:r>
        <w:rPr>
          <w:rFonts w:ascii="宋体" w:hAnsi="宋体" w:eastAsia="宋体" w:cstheme="minorEastAsia"/>
          <w:color w:val="000000"/>
          <w:kern w:val="0"/>
          <w:sz w:val="28"/>
          <w:szCs w:val="28"/>
        </w:rPr>
        <w:t>课程思政指导委员会的</w:t>
      </w:r>
      <w:r>
        <w:rPr>
          <w:rFonts w:hint="eastAsia" w:ascii="宋体" w:hAnsi="宋体" w:eastAsia="宋体" w:cstheme="minorEastAsia"/>
          <w:color w:val="000000"/>
          <w:kern w:val="0"/>
          <w:sz w:val="28"/>
          <w:szCs w:val="28"/>
        </w:rPr>
        <w:t>工作机制</w:t>
      </w:r>
      <w:r>
        <w:rPr>
          <w:rFonts w:ascii="宋体" w:hAnsi="宋体" w:eastAsia="宋体"/>
          <w:sz w:val="28"/>
          <w:szCs w:val="28"/>
        </w:rPr>
        <w:t>；</w:t>
      </w:r>
      <w:r>
        <w:rPr>
          <w:rFonts w:hint="eastAsia" w:ascii="宋体" w:hAnsi="宋体" w:eastAsia="宋体"/>
          <w:sz w:val="28"/>
          <w:szCs w:val="28"/>
        </w:rPr>
        <w:t>完善</w:t>
      </w:r>
      <w:r>
        <w:rPr>
          <w:rFonts w:ascii="宋体" w:hAnsi="宋体" w:eastAsia="宋体"/>
          <w:sz w:val="28"/>
          <w:szCs w:val="28"/>
        </w:rPr>
        <w:t>课程设置管理，</w:t>
      </w:r>
      <w:r>
        <w:rPr>
          <w:rFonts w:hint="eastAsia" w:ascii="宋体" w:hAnsi="宋体" w:eastAsia="宋体"/>
          <w:sz w:val="28"/>
          <w:szCs w:val="28"/>
        </w:rPr>
        <w:t>特别是在</w:t>
      </w:r>
      <w:r>
        <w:rPr>
          <w:rFonts w:ascii="宋体" w:hAnsi="宋体" w:eastAsia="宋体"/>
          <w:sz w:val="28"/>
          <w:szCs w:val="28"/>
        </w:rPr>
        <w:t>学院层面完善</w:t>
      </w:r>
      <w:r>
        <w:rPr>
          <w:rFonts w:hint="eastAsia" w:ascii="宋体" w:hAnsi="宋体" w:eastAsia="宋体"/>
          <w:sz w:val="28"/>
          <w:szCs w:val="28"/>
        </w:rPr>
        <w:t>体现课程思政要求的专业</w:t>
      </w:r>
      <w:r>
        <w:rPr>
          <w:rFonts w:hint="eastAsia" w:ascii="宋体" w:hAnsi="宋体" w:eastAsia="宋体" w:cstheme="minorEastAsia"/>
          <w:color w:val="000000"/>
          <w:kern w:val="0"/>
          <w:sz w:val="28"/>
          <w:szCs w:val="28"/>
        </w:rPr>
        <w:t>人才培养方案论证制度，教学大纲、教案修订与评价制度</w:t>
      </w:r>
      <w:r>
        <w:rPr>
          <w:rFonts w:hint="eastAsia" w:ascii="宋体" w:hAnsi="宋体" w:eastAsia="宋体"/>
          <w:b/>
          <w:sz w:val="28"/>
          <w:szCs w:val="28"/>
        </w:rPr>
        <w:t>。</w:t>
      </w:r>
      <w:r>
        <w:rPr>
          <w:rFonts w:hint="eastAsia" w:ascii="宋体" w:hAnsi="宋体" w:eastAsia="宋体"/>
          <w:sz w:val="28"/>
          <w:szCs w:val="28"/>
        </w:rPr>
        <w:t>加强</w:t>
      </w:r>
      <w:r>
        <w:rPr>
          <w:rFonts w:ascii="宋体" w:hAnsi="宋体" w:eastAsia="宋体"/>
          <w:sz w:val="28"/>
          <w:szCs w:val="28"/>
        </w:rPr>
        <w:t>课堂教学管理，</w:t>
      </w:r>
      <w:r>
        <w:rPr>
          <w:rFonts w:hint="eastAsia" w:ascii="宋体" w:hAnsi="宋体" w:eastAsia="宋体"/>
          <w:sz w:val="28"/>
          <w:szCs w:val="28"/>
        </w:rPr>
        <w:t>完善校院</w:t>
      </w:r>
      <w:r>
        <w:rPr>
          <w:rFonts w:ascii="宋体" w:hAnsi="宋体" w:eastAsia="宋体"/>
          <w:sz w:val="28"/>
          <w:szCs w:val="28"/>
        </w:rPr>
        <w:t>两级</w:t>
      </w:r>
      <w:r>
        <w:rPr>
          <w:rFonts w:ascii="宋体" w:hAnsi="宋体" w:eastAsia="宋体" w:cstheme="minorEastAsia"/>
          <w:color w:val="000000"/>
          <w:kern w:val="0"/>
          <w:sz w:val="28"/>
          <w:szCs w:val="28"/>
        </w:rPr>
        <w:t>领导、督导</w:t>
      </w:r>
      <w:r>
        <w:rPr>
          <w:rFonts w:hint="eastAsia" w:ascii="宋体" w:hAnsi="宋体" w:eastAsia="宋体" w:cstheme="minorEastAsia"/>
          <w:color w:val="000000"/>
          <w:kern w:val="0"/>
          <w:sz w:val="28"/>
          <w:szCs w:val="28"/>
        </w:rPr>
        <w:t>听课制度；</w:t>
      </w:r>
      <w:r>
        <w:rPr>
          <w:rFonts w:hint="eastAsia" w:ascii="宋体" w:hAnsi="宋体" w:eastAsia="宋体"/>
          <w:sz w:val="28"/>
          <w:szCs w:val="28"/>
        </w:rPr>
        <w:t>完善专业的</w:t>
      </w:r>
      <w:r>
        <w:rPr>
          <w:rFonts w:hint="eastAsia" w:ascii="宋体" w:hAnsi="宋体" w:eastAsia="宋体" w:cstheme="minorEastAsia"/>
          <w:color w:val="000000"/>
          <w:kern w:val="0"/>
          <w:sz w:val="28"/>
          <w:szCs w:val="28"/>
        </w:rPr>
        <w:t>教材建设与选用制度</w:t>
      </w:r>
      <w:r>
        <w:rPr>
          <w:rFonts w:hint="eastAsia" w:ascii="宋体" w:hAnsi="宋体" w:eastAsia="宋体"/>
          <w:sz w:val="28"/>
          <w:szCs w:val="28"/>
        </w:rPr>
        <w:t>，坚持选用“马工程”教材，出版应用型特色教材。完善课程思政质量评价制度，基于学生、毕业生、用人单位、第三方调研等多种方式开展课程思政教学改革的质量评价。加强对第二课堂的思政教育管理，建设基于易班的</w:t>
      </w:r>
      <w:r>
        <w:rPr>
          <w:rFonts w:hint="eastAsia" w:ascii="宋体" w:hAnsi="宋体" w:eastAsia="宋体" w:cstheme="minorEastAsia"/>
          <w:color w:val="000000"/>
          <w:kern w:val="0"/>
          <w:sz w:val="28"/>
          <w:szCs w:val="28"/>
        </w:rPr>
        <w:t>大学生价值观大数据分析平台</w:t>
      </w:r>
      <w:r>
        <w:rPr>
          <w:rFonts w:hint="eastAsia" w:ascii="宋体" w:hAnsi="宋体" w:eastAsia="宋体"/>
          <w:sz w:val="28"/>
          <w:szCs w:val="28"/>
        </w:rPr>
        <w:t>。此外</w:t>
      </w:r>
      <w:r>
        <w:rPr>
          <w:rFonts w:ascii="宋体" w:hAnsi="宋体" w:eastAsia="宋体"/>
          <w:sz w:val="28"/>
          <w:szCs w:val="28"/>
        </w:rPr>
        <w:t>，</w:t>
      </w:r>
      <w:r>
        <w:rPr>
          <w:rFonts w:hint="eastAsia" w:ascii="宋体" w:hAnsi="宋体" w:eastAsia="宋体"/>
          <w:sz w:val="28"/>
          <w:szCs w:val="28"/>
        </w:rPr>
        <w:t>加强课程思政质量</w:t>
      </w:r>
      <w:r>
        <w:rPr>
          <w:rFonts w:ascii="宋体" w:hAnsi="宋体" w:eastAsia="宋体"/>
          <w:sz w:val="28"/>
          <w:szCs w:val="28"/>
        </w:rPr>
        <w:t>评价制度与校本研修制度</w:t>
      </w:r>
      <w:r>
        <w:rPr>
          <w:rFonts w:hint="eastAsia" w:ascii="宋体" w:hAnsi="宋体" w:eastAsia="宋体"/>
          <w:sz w:val="28"/>
          <w:szCs w:val="28"/>
        </w:rPr>
        <w:t>之间的衔接</w:t>
      </w:r>
      <w:r>
        <w:rPr>
          <w:rFonts w:ascii="宋体" w:hAnsi="宋体" w:eastAsia="宋体"/>
          <w:sz w:val="28"/>
          <w:szCs w:val="28"/>
        </w:rPr>
        <w:t>，形成</w:t>
      </w:r>
      <w:r>
        <w:rPr>
          <w:rFonts w:hint="eastAsia" w:ascii="宋体" w:hAnsi="宋体" w:eastAsia="宋体"/>
          <w:sz w:val="28"/>
          <w:szCs w:val="28"/>
        </w:rPr>
        <w:t>基于</w:t>
      </w:r>
      <w:r>
        <w:rPr>
          <w:rFonts w:ascii="宋体" w:hAnsi="宋体" w:eastAsia="宋体"/>
          <w:sz w:val="28"/>
          <w:szCs w:val="28"/>
        </w:rPr>
        <w:t>评价</w:t>
      </w:r>
      <w:r>
        <w:rPr>
          <w:rFonts w:hint="eastAsia" w:ascii="宋体" w:hAnsi="宋体" w:eastAsia="宋体"/>
          <w:sz w:val="28"/>
          <w:szCs w:val="28"/>
        </w:rPr>
        <w:t>结果</w:t>
      </w:r>
      <w:r>
        <w:rPr>
          <w:rFonts w:ascii="宋体" w:hAnsi="宋体" w:eastAsia="宋体"/>
          <w:sz w:val="28"/>
          <w:szCs w:val="28"/>
        </w:rPr>
        <w:t>的</w:t>
      </w:r>
      <w:r>
        <w:rPr>
          <w:rFonts w:hint="eastAsia" w:ascii="宋体" w:hAnsi="宋体" w:eastAsia="宋体"/>
          <w:sz w:val="28"/>
          <w:szCs w:val="28"/>
        </w:rPr>
        <w:t>反馈</w:t>
      </w:r>
      <w:r>
        <w:rPr>
          <w:rFonts w:ascii="宋体" w:hAnsi="宋体" w:eastAsia="宋体"/>
          <w:sz w:val="28"/>
          <w:szCs w:val="28"/>
        </w:rPr>
        <w:t>、</w:t>
      </w:r>
      <w:r>
        <w:rPr>
          <w:rFonts w:hint="eastAsia" w:ascii="宋体" w:hAnsi="宋体" w:eastAsia="宋体"/>
          <w:sz w:val="28"/>
          <w:szCs w:val="28"/>
        </w:rPr>
        <w:t>改进</w:t>
      </w:r>
      <w:r>
        <w:rPr>
          <w:rFonts w:ascii="宋体" w:hAnsi="宋体" w:eastAsia="宋体"/>
          <w:sz w:val="28"/>
          <w:szCs w:val="28"/>
        </w:rPr>
        <w:t>和教师</w:t>
      </w:r>
      <w:r>
        <w:rPr>
          <w:rFonts w:hint="eastAsia" w:ascii="宋体" w:hAnsi="宋体" w:eastAsia="宋体"/>
          <w:sz w:val="28"/>
          <w:szCs w:val="28"/>
        </w:rPr>
        <w:t>培训</w:t>
      </w:r>
      <w:r>
        <w:rPr>
          <w:rFonts w:ascii="宋体" w:hAnsi="宋体" w:eastAsia="宋体"/>
          <w:sz w:val="28"/>
          <w:szCs w:val="28"/>
        </w:rPr>
        <w:t>。</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cstheme="minorEastAsia"/>
          <w:color w:val="000000"/>
          <w:kern w:val="0"/>
          <w:sz w:val="28"/>
          <w:szCs w:val="28"/>
        </w:rPr>
        <w:t>三是</w:t>
      </w:r>
      <w:r>
        <w:rPr>
          <w:rFonts w:ascii="宋体" w:hAnsi="宋体" w:eastAsia="宋体" w:cstheme="minorEastAsia"/>
          <w:color w:val="000000"/>
          <w:kern w:val="0"/>
          <w:sz w:val="28"/>
          <w:szCs w:val="28"/>
        </w:rPr>
        <w:t>完善评优奖励制度。</w:t>
      </w:r>
      <w:r>
        <w:rPr>
          <w:rFonts w:hint="eastAsia" w:ascii="宋体" w:hAnsi="宋体" w:eastAsia="宋体"/>
          <w:sz w:val="28"/>
          <w:szCs w:val="28"/>
        </w:rPr>
        <w:t>充分</w:t>
      </w:r>
      <w:r>
        <w:rPr>
          <w:rFonts w:ascii="宋体" w:hAnsi="宋体" w:eastAsia="宋体"/>
          <w:sz w:val="28"/>
          <w:szCs w:val="28"/>
        </w:rPr>
        <w:t>发挥教育教学考评和评优的激励作用，将课程思政实施效果</w:t>
      </w:r>
      <w:r>
        <w:rPr>
          <w:rFonts w:hint="eastAsia" w:ascii="宋体" w:hAnsi="宋体" w:eastAsia="宋体"/>
          <w:sz w:val="28"/>
          <w:szCs w:val="28"/>
        </w:rPr>
        <w:t>作为</w:t>
      </w:r>
      <w:r>
        <w:rPr>
          <w:rFonts w:ascii="宋体" w:hAnsi="宋体" w:eastAsia="宋体"/>
          <w:sz w:val="28"/>
          <w:szCs w:val="28"/>
        </w:rPr>
        <w:t>教师职务（</w:t>
      </w:r>
      <w:r>
        <w:rPr>
          <w:rFonts w:hint="eastAsia" w:ascii="宋体" w:hAnsi="宋体" w:eastAsia="宋体"/>
          <w:sz w:val="28"/>
          <w:szCs w:val="28"/>
        </w:rPr>
        <w:t>职称</w:t>
      </w:r>
      <w:r>
        <w:rPr>
          <w:rFonts w:ascii="宋体" w:hAnsi="宋体" w:eastAsia="宋体"/>
          <w:sz w:val="28"/>
          <w:szCs w:val="28"/>
        </w:rPr>
        <w:t>）</w:t>
      </w:r>
      <w:r>
        <w:rPr>
          <w:rFonts w:hint="eastAsia" w:ascii="宋体" w:hAnsi="宋体" w:eastAsia="宋体"/>
          <w:sz w:val="28"/>
          <w:szCs w:val="28"/>
        </w:rPr>
        <w:t>聘任</w:t>
      </w:r>
      <w:r>
        <w:rPr>
          <w:rFonts w:ascii="宋体" w:hAnsi="宋体" w:eastAsia="宋体"/>
          <w:sz w:val="28"/>
          <w:szCs w:val="28"/>
        </w:rPr>
        <w:t>、岗位聘任、评优奖励的重要内容。完善</w:t>
      </w:r>
      <w:r>
        <w:rPr>
          <w:rFonts w:hint="eastAsia" w:ascii="宋体" w:hAnsi="宋体" w:eastAsia="宋体" w:cstheme="minorEastAsia"/>
          <w:color w:val="000000"/>
          <w:kern w:val="0"/>
          <w:sz w:val="28"/>
          <w:szCs w:val="28"/>
        </w:rPr>
        <w:t>二级学院</w:t>
      </w:r>
      <w:r>
        <w:rPr>
          <w:rFonts w:ascii="宋体" w:hAnsi="宋体" w:eastAsia="宋体" w:cstheme="minorEastAsia"/>
          <w:color w:val="000000"/>
          <w:kern w:val="0"/>
          <w:sz w:val="28"/>
          <w:szCs w:val="28"/>
        </w:rPr>
        <w:t>考核制度</w:t>
      </w:r>
      <w:r>
        <w:rPr>
          <w:rFonts w:ascii="宋体" w:hAnsi="宋体" w:eastAsia="宋体"/>
          <w:sz w:val="28"/>
          <w:szCs w:val="28"/>
        </w:rPr>
        <w:t>，将</w:t>
      </w:r>
      <w:r>
        <w:rPr>
          <w:rFonts w:hint="eastAsia" w:ascii="宋体" w:hAnsi="宋体" w:eastAsia="宋体"/>
          <w:sz w:val="28"/>
          <w:szCs w:val="28"/>
        </w:rPr>
        <w:t>开展</w:t>
      </w:r>
      <w:r>
        <w:rPr>
          <w:rFonts w:ascii="宋体" w:hAnsi="宋体" w:eastAsia="宋体"/>
          <w:sz w:val="28"/>
          <w:szCs w:val="28"/>
        </w:rPr>
        <w:t>课程思政教学改革的过程与实效作为年度考核的重要内容。完善</w:t>
      </w:r>
      <w:r>
        <w:rPr>
          <w:rFonts w:hint="eastAsia" w:ascii="宋体" w:hAnsi="宋体" w:eastAsia="宋体" w:cstheme="minorEastAsia"/>
          <w:color w:val="000000"/>
          <w:kern w:val="0"/>
          <w:sz w:val="28"/>
          <w:szCs w:val="28"/>
        </w:rPr>
        <w:t>教师</w:t>
      </w:r>
      <w:r>
        <w:rPr>
          <w:rFonts w:ascii="宋体" w:hAnsi="宋体" w:eastAsia="宋体" w:cstheme="minorEastAsia"/>
          <w:color w:val="000000"/>
          <w:kern w:val="0"/>
          <w:sz w:val="28"/>
          <w:szCs w:val="28"/>
        </w:rPr>
        <w:t>评优奖励制度</w:t>
      </w:r>
      <w:r>
        <w:rPr>
          <w:rFonts w:ascii="宋体" w:hAnsi="宋体" w:eastAsia="宋体"/>
          <w:sz w:val="28"/>
          <w:szCs w:val="28"/>
        </w:rPr>
        <w:t>，</w:t>
      </w:r>
      <w:r>
        <w:rPr>
          <w:rFonts w:hint="eastAsia" w:ascii="宋体" w:hAnsi="宋体" w:eastAsia="宋体"/>
          <w:sz w:val="28"/>
          <w:szCs w:val="28"/>
        </w:rPr>
        <w:t>在</w:t>
      </w:r>
      <w:r>
        <w:rPr>
          <w:rFonts w:ascii="宋体" w:hAnsi="宋体" w:eastAsia="宋体"/>
          <w:sz w:val="28"/>
          <w:szCs w:val="28"/>
        </w:rPr>
        <w:t>评选</w:t>
      </w:r>
      <w:r>
        <w:rPr>
          <w:rFonts w:hint="eastAsia" w:ascii="宋体" w:hAnsi="宋体" w:eastAsia="宋体"/>
          <w:sz w:val="28"/>
          <w:szCs w:val="28"/>
        </w:rPr>
        <w:t>校长</w:t>
      </w:r>
      <w:r>
        <w:rPr>
          <w:rFonts w:ascii="宋体" w:hAnsi="宋体" w:eastAsia="宋体"/>
          <w:sz w:val="28"/>
          <w:szCs w:val="28"/>
        </w:rPr>
        <w:t>奖、教学成就奖、</w:t>
      </w:r>
      <w:r>
        <w:rPr>
          <w:rFonts w:hint="eastAsia" w:ascii="宋体" w:hAnsi="宋体" w:eastAsia="宋体"/>
          <w:sz w:val="28"/>
          <w:szCs w:val="28"/>
        </w:rPr>
        <w:t>我心目</w:t>
      </w:r>
      <w:r>
        <w:rPr>
          <w:rFonts w:ascii="宋体" w:hAnsi="宋体" w:eastAsia="宋体"/>
          <w:sz w:val="28"/>
          <w:szCs w:val="28"/>
        </w:rPr>
        <w:t>中的好老师等工作中，将课程思政教学改革的成效作为重要指标之一。</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cstheme="minorEastAsia"/>
          <w:color w:val="000000"/>
          <w:kern w:val="0"/>
          <w:sz w:val="28"/>
          <w:szCs w:val="28"/>
        </w:rPr>
        <w:t>四是完善协同</w:t>
      </w:r>
      <w:r>
        <w:rPr>
          <w:rFonts w:ascii="宋体" w:hAnsi="宋体" w:eastAsia="宋体" w:cstheme="minorEastAsia"/>
          <w:color w:val="000000"/>
          <w:kern w:val="0"/>
          <w:sz w:val="28"/>
          <w:szCs w:val="28"/>
        </w:rPr>
        <w:t>党建制度。</w:t>
      </w:r>
      <w:r>
        <w:rPr>
          <w:rFonts w:hint="eastAsia" w:ascii="宋体" w:hAnsi="宋体" w:eastAsia="宋体"/>
          <w:sz w:val="28"/>
          <w:szCs w:val="28"/>
        </w:rPr>
        <w:t>在</w:t>
      </w:r>
      <w:r>
        <w:rPr>
          <w:rFonts w:ascii="宋体" w:hAnsi="宋体" w:eastAsia="宋体"/>
          <w:sz w:val="28"/>
          <w:szCs w:val="28"/>
        </w:rPr>
        <w:t>建设课程思政临时党支部取得切实成效的基础上，</w:t>
      </w:r>
      <w:r>
        <w:rPr>
          <w:rFonts w:hint="eastAsia" w:ascii="宋体" w:hAnsi="宋体" w:eastAsia="宋体"/>
          <w:sz w:val="28"/>
          <w:szCs w:val="28"/>
        </w:rPr>
        <w:t>进一步开展</w:t>
      </w:r>
      <w:r>
        <w:rPr>
          <w:rFonts w:hint="eastAsia" w:ascii="宋体" w:hAnsi="宋体" w:eastAsia="宋体" w:cstheme="minorEastAsia"/>
          <w:color w:val="000000"/>
          <w:kern w:val="0"/>
          <w:sz w:val="28"/>
          <w:szCs w:val="28"/>
        </w:rPr>
        <w:t>校企党建联建，</w:t>
      </w:r>
      <w:r>
        <w:rPr>
          <w:rFonts w:hint="eastAsia" w:ascii="宋体" w:hAnsi="宋体" w:eastAsia="宋体"/>
          <w:sz w:val="28"/>
          <w:szCs w:val="28"/>
        </w:rPr>
        <w:t>与企业联合开展以课程思政</w:t>
      </w:r>
      <w:r>
        <w:rPr>
          <w:rFonts w:ascii="宋体" w:hAnsi="宋体" w:eastAsia="宋体"/>
          <w:sz w:val="28"/>
          <w:szCs w:val="28"/>
        </w:rPr>
        <w:t>为</w:t>
      </w:r>
      <w:r>
        <w:rPr>
          <w:rFonts w:hint="eastAsia" w:ascii="宋体" w:hAnsi="宋体" w:eastAsia="宋体"/>
          <w:sz w:val="28"/>
          <w:szCs w:val="28"/>
        </w:rPr>
        <w:t>主题</w:t>
      </w:r>
      <w:r>
        <w:rPr>
          <w:rFonts w:ascii="宋体" w:hAnsi="宋体" w:eastAsia="宋体"/>
          <w:sz w:val="28"/>
          <w:szCs w:val="28"/>
        </w:rPr>
        <w:t>的</w:t>
      </w:r>
      <w:r>
        <w:rPr>
          <w:rFonts w:hint="eastAsia" w:ascii="宋体" w:hAnsi="宋体" w:eastAsia="宋体"/>
          <w:sz w:val="28"/>
          <w:szCs w:val="28"/>
        </w:rPr>
        <w:t>党日活动，邀请企业优秀党员开设内涵丰富、效果显著的示范党课，引导教师</w:t>
      </w:r>
      <w:r>
        <w:rPr>
          <w:rFonts w:ascii="宋体" w:hAnsi="宋体" w:eastAsia="宋体"/>
          <w:sz w:val="28"/>
          <w:szCs w:val="28"/>
        </w:rPr>
        <w:t>更加了解</w:t>
      </w:r>
      <w:r>
        <w:rPr>
          <w:rFonts w:hint="eastAsia" w:ascii="宋体" w:hAnsi="宋体" w:eastAsia="宋体"/>
          <w:sz w:val="28"/>
          <w:szCs w:val="28"/>
        </w:rPr>
        <w:t>上海区域经济建设实践，在</w:t>
      </w:r>
      <w:r>
        <w:rPr>
          <w:rFonts w:ascii="宋体" w:hAnsi="宋体" w:eastAsia="宋体"/>
          <w:sz w:val="28"/>
          <w:szCs w:val="28"/>
        </w:rPr>
        <w:t>党建中提升育德意识和育德能力。</w:t>
      </w:r>
      <w:r>
        <w:rPr>
          <w:rFonts w:hint="eastAsia" w:ascii="宋体" w:hAnsi="宋体" w:eastAsia="宋体"/>
          <w:sz w:val="28"/>
          <w:szCs w:val="28"/>
        </w:rPr>
        <w:t>推行</w:t>
      </w:r>
      <w:r>
        <w:rPr>
          <w:rFonts w:hint="eastAsia" w:ascii="宋体" w:hAnsi="宋体" w:eastAsia="宋体" w:cstheme="minorEastAsia"/>
          <w:color w:val="000000"/>
          <w:kern w:val="0"/>
          <w:sz w:val="28"/>
          <w:szCs w:val="28"/>
        </w:rPr>
        <w:t>企业党员导师制，</w:t>
      </w:r>
      <w:r>
        <w:rPr>
          <w:rFonts w:hint="eastAsia" w:ascii="宋体" w:hAnsi="宋体" w:eastAsia="宋体"/>
          <w:sz w:val="28"/>
          <w:szCs w:val="28"/>
        </w:rPr>
        <w:t>在</w:t>
      </w:r>
      <w:r>
        <w:rPr>
          <w:rFonts w:ascii="宋体" w:hAnsi="宋体" w:eastAsia="宋体"/>
          <w:sz w:val="28"/>
          <w:szCs w:val="28"/>
        </w:rPr>
        <w:t>课程思政临时党支部中</w:t>
      </w:r>
      <w:r>
        <w:rPr>
          <w:rFonts w:hint="eastAsia" w:ascii="宋体" w:hAnsi="宋体" w:eastAsia="宋体"/>
          <w:sz w:val="28"/>
          <w:szCs w:val="28"/>
        </w:rPr>
        <w:t>实施</w:t>
      </w:r>
      <w:r>
        <w:rPr>
          <w:rFonts w:hint="eastAsia" w:ascii="宋体" w:hAnsi="宋体" w:eastAsia="宋体" w:cstheme="minorEastAsia"/>
          <w:color w:val="000000"/>
          <w:kern w:val="0"/>
          <w:sz w:val="28"/>
          <w:szCs w:val="28"/>
        </w:rPr>
        <w:t>“双带头人”党支部书记制度，</w:t>
      </w:r>
      <w:r>
        <w:rPr>
          <w:rFonts w:hint="eastAsia" w:ascii="宋体" w:hAnsi="宋体" w:eastAsia="宋体"/>
          <w:sz w:val="28"/>
          <w:szCs w:val="28"/>
        </w:rPr>
        <w:t>聘任具有较高党性修养、道德情操的双师双能型教师党员担任学生党支部的党建导师、青年教师和学生党员的成长导师，发挥传帮带作用，坚持立德树人培养应用技术类人才。</w:t>
      </w:r>
    </w:p>
    <w:p>
      <w:pPr>
        <w:adjustRightInd w:val="0"/>
        <w:snapToGrid w:val="0"/>
        <w:spacing w:line="360" w:lineRule="auto"/>
        <w:ind w:firstLine="548" w:firstLineChars="196"/>
        <w:rPr>
          <w:rFonts w:ascii="宋体" w:hAnsi="宋体" w:eastAsia="宋体" w:cstheme="minorEastAsia"/>
          <w:color w:val="000000"/>
          <w:kern w:val="0"/>
          <w:sz w:val="28"/>
          <w:szCs w:val="28"/>
        </w:rPr>
      </w:pPr>
      <w:r>
        <w:rPr>
          <w:rFonts w:hint="eastAsia" w:ascii="宋体" w:hAnsi="宋体" w:eastAsia="宋体" w:cstheme="minorEastAsia"/>
          <w:color w:val="000000"/>
          <w:kern w:val="0"/>
          <w:sz w:val="28"/>
          <w:szCs w:val="28"/>
        </w:rPr>
        <w:t>(3)加强教师培训，提升教师育德意识和育德能力</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cstheme="minorEastAsia"/>
          <w:color w:val="000000"/>
          <w:kern w:val="0"/>
          <w:sz w:val="28"/>
          <w:szCs w:val="28"/>
        </w:rPr>
        <w:t>一是加强专题调研，提高培训工作针对性。</w:t>
      </w:r>
      <w:r>
        <w:rPr>
          <w:rFonts w:hint="eastAsia" w:ascii="宋体" w:hAnsi="宋体" w:eastAsia="宋体"/>
          <w:sz w:val="28"/>
          <w:szCs w:val="28"/>
        </w:rPr>
        <w:t>组织开展教师思想政治教育，引导广大教师把立德树人作为中心环节，</w:t>
      </w:r>
      <w:r>
        <w:rPr>
          <w:rFonts w:hint="eastAsia" w:ascii="宋体" w:hAnsi="宋体" w:eastAsia="宋体" w:cstheme="minorEastAsia"/>
          <w:color w:val="000000"/>
          <w:kern w:val="0"/>
          <w:sz w:val="28"/>
          <w:szCs w:val="28"/>
        </w:rPr>
        <w:t>落实“4个定期”</w:t>
      </w:r>
      <w:r>
        <w:rPr>
          <w:rFonts w:hint="eastAsia" w:ascii="宋体" w:hAnsi="宋体" w:eastAsia="宋体"/>
          <w:sz w:val="28"/>
          <w:szCs w:val="28"/>
        </w:rPr>
        <w:t>调研工作：定期开展教师队伍政治思想、职业精神、生涯发展等状况调研，及时向校党委及时汇报调研分析结果及意见建议。定期开展课程思政教师课堂资源需求、教案指南需求、评价考核需求等调研，及时地向课程思政机构小组汇报并提出对策。定期开展双师型教师产学研见习校外检查工作，将双师型教师的企业实践精神与产学研基地相结合。定期开展校外教师思政交流活动，及时地吸收他山之石优秀典型经验，为应用型课程思政教师所用。</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cstheme="minorEastAsia"/>
          <w:color w:val="000000"/>
          <w:kern w:val="0"/>
          <w:sz w:val="28"/>
          <w:szCs w:val="28"/>
        </w:rPr>
        <w:t>二是开展专题培训，提高培训工作有效性。</w:t>
      </w:r>
      <w:r>
        <w:rPr>
          <w:rFonts w:hint="eastAsia" w:ascii="宋体" w:hAnsi="宋体" w:eastAsia="宋体"/>
          <w:sz w:val="28"/>
          <w:szCs w:val="28"/>
        </w:rPr>
        <w:t>落实“所有教师都有育德职责，所有课程都有育德功能”的课程思政理念，为教师提供</w:t>
      </w:r>
      <w:r>
        <w:rPr>
          <w:rFonts w:hint="eastAsia" w:ascii="宋体" w:hAnsi="宋体" w:eastAsia="宋体" w:cstheme="minorEastAsia"/>
          <w:color w:val="000000"/>
          <w:kern w:val="0"/>
          <w:sz w:val="28"/>
          <w:szCs w:val="28"/>
        </w:rPr>
        <w:t>国家级、市级以及学校层面的三级立体培训体系和平台，</w:t>
      </w:r>
      <w:r>
        <w:rPr>
          <w:rFonts w:hint="eastAsia" w:ascii="宋体" w:hAnsi="宋体" w:eastAsia="宋体"/>
          <w:sz w:val="28"/>
          <w:szCs w:val="28"/>
        </w:rPr>
        <w:t>拓展教师视野，提升教师育德意识和育德能力。继续</w:t>
      </w:r>
      <w:r>
        <w:rPr>
          <w:rFonts w:hint="eastAsia" w:ascii="宋体" w:hAnsi="宋体" w:eastAsia="宋体" w:cstheme="minorEastAsia"/>
          <w:color w:val="000000"/>
          <w:kern w:val="0"/>
          <w:sz w:val="28"/>
          <w:szCs w:val="28"/>
        </w:rPr>
        <w:t>依托明德讲坛和教师沙龙两大育德平台，</w:t>
      </w:r>
      <w:r>
        <w:rPr>
          <w:rFonts w:hint="eastAsia" w:ascii="宋体" w:hAnsi="宋体" w:eastAsia="宋体"/>
          <w:sz w:val="28"/>
          <w:szCs w:val="28"/>
        </w:rPr>
        <w:t>每半个月举行1次，通过“明德系列讲坛”，邀请名师大家为教师宣讲，用习近平新时代中国特色社会主义武装教师头脑，实现“让有信仰的人讲信仰”的重要遵循。依托各学院承办教师沙龙主题活动，侧重教书育人水平和技能的提升，实现育人者先受教育的根本理念，探索“人人参与、个个担当、处处渗透、时时熏陶”的育德平台。</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cstheme="minorEastAsia"/>
          <w:color w:val="000000"/>
          <w:kern w:val="0"/>
          <w:sz w:val="28"/>
          <w:szCs w:val="28"/>
        </w:rPr>
        <w:t>三是丰富培训载体，确保培训工作常态化。</w:t>
      </w:r>
      <w:r>
        <w:rPr>
          <w:rFonts w:hint="eastAsia" w:ascii="宋体" w:hAnsi="宋体" w:eastAsia="宋体"/>
          <w:sz w:val="28"/>
          <w:szCs w:val="28"/>
        </w:rPr>
        <w:t>借助新上岗教师培训、出国教师行前培训、教学能力培训、教学方法培训、教学艺术培训或专题培训、教师专业发展</w:t>
      </w:r>
      <w:r>
        <w:rPr>
          <w:rFonts w:hint="eastAsia" w:ascii="宋体" w:hAnsi="宋体" w:eastAsia="宋体" w:cstheme="minorEastAsia"/>
          <w:color w:val="000000"/>
          <w:kern w:val="0"/>
          <w:sz w:val="28"/>
          <w:szCs w:val="28"/>
        </w:rPr>
        <w:t>六大工程</w:t>
      </w:r>
      <w:r>
        <w:rPr>
          <w:rFonts w:hint="eastAsia" w:ascii="宋体" w:hAnsi="宋体" w:eastAsia="宋体"/>
          <w:sz w:val="28"/>
          <w:szCs w:val="28"/>
        </w:rPr>
        <w:t>等，提高教师育德意识育德能力、教学能力、教学水平和教学艺术，如教师教学能力培训中，做到</w:t>
      </w:r>
      <w:r>
        <w:rPr>
          <w:rFonts w:hint="eastAsia" w:ascii="宋体" w:hAnsi="宋体" w:eastAsia="宋体" w:cstheme="minorEastAsia"/>
          <w:color w:val="000000"/>
          <w:kern w:val="0"/>
          <w:sz w:val="28"/>
          <w:szCs w:val="28"/>
        </w:rPr>
        <w:t>“5个一”</w:t>
      </w:r>
      <w:r>
        <w:rPr>
          <w:rFonts w:hint="eastAsia" w:ascii="宋体" w:hAnsi="宋体" w:eastAsia="宋体"/>
          <w:sz w:val="28"/>
          <w:szCs w:val="28"/>
        </w:rPr>
        <w:t>，即备好每一次课，上好每一堂课，批改好每一批作业，开展好每一次答疑，指导好每一个实验，激励教师挖掘与学科相关的思政元素和理论知识；教师专业发展工程中，做到</w:t>
      </w:r>
      <w:r>
        <w:rPr>
          <w:rFonts w:hint="eastAsia" w:ascii="宋体" w:hAnsi="宋体" w:eastAsia="宋体" w:cstheme="minorEastAsia"/>
          <w:color w:val="000000"/>
          <w:kern w:val="0"/>
          <w:sz w:val="28"/>
          <w:szCs w:val="28"/>
        </w:rPr>
        <w:t>“6个一”</w:t>
      </w:r>
      <w:r>
        <w:rPr>
          <w:rFonts w:hint="eastAsia" w:ascii="宋体" w:hAnsi="宋体" w:eastAsia="宋体"/>
          <w:sz w:val="28"/>
          <w:szCs w:val="28"/>
        </w:rPr>
        <w:t>，培养教师国际视野、国内前沿学科、产学研见习、实验队伍、课程计划以及进修培训等能力，将思政元素融入各环节；新进教师校本培训中，设置</w:t>
      </w:r>
      <w:r>
        <w:rPr>
          <w:rFonts w:hint="eastAsia" w:ascii="宋体" w:hAnsi="宋体" w:eastAsia="宋体" w:cstheme="minorEastAsia"/>
          <w:color w:val="000000"/>
          <w:kern w:val="0"/>
          <w:sz w:val="28"/>
          <w:szCs w:val="28"/>
        </w:rPr>
        <w:t>“7个一”</w:t>
      </w:r>
      <w:r>
        <w:rPr>
          <w:rFonts w:hint="eastAsia" w:ascii="宋体" w:hAnsi="宋体" w:eastAsia="宋体"/>
          <w:sz w:val="28"/>
          <w:szCs w:val="28"/>
        </w:rPr>
        <w:t>，由新进教师所在学院负责1名指导教师、制定研修计划1个、随堂听课至少1门、提交教学文件1套、参加集体备课1次、进行教学展示1次、参加实验教学或实验指导1次，每个“一”都有课程思政观测点，将教师育德意识强化、育德能力提升前置到职业生涯的原始起点中。</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cstheme="minorEastAsia"/>
          <w:color w:val="000000"/>
          <w:kern w:val="0"/>
          <w:sz w:val="28"/>
          <w:szCs w:val="28"/>
        </w:rPr>
        <w:t>四是讲好榜样故事，实现培训工作引领力。</w:t>
      </w:r>
      <w:r>
        <w:rPr>
          <w:rFonts w:hint="eastAsia" w:ascii="宋体" w:hAnsi="宋体" w:eastAsia="宋体"/>
          <w:sz w:val="28"/>
          <w:szCs w:val="28"/>
        </w:rPr>
        <w:t>以榜样典型为示范，讲好教师德育楷模故事，由教务处、校工会、宣传部等部门协同，继续借助“校长奖”“上海市教书育人楷模”“我心目中好老师”等评选榜样渠道，通过“教师节”“三十年情怀”“七一党建日”等表彰平台，不断树立宣传身边榜样，潜移默化地提升教师师风师德，以榜样的力量激励全校教师争当“四有”好教师，勇做时代先行者的热情。</w:t>
      </w:r>
    </w:p>
    <w:p>
      <w:pPr>
        <w:adjustRightInd w:val="0"/>
        <w:snapToGrid w:val="0"/>
        <w:spacing w:line="360" w:lineRule="auto"/>
        <w:rPr>
          <w:rFonts w:ascii="宋体" w:hAnsi="宋体" w:eastAsia="宋体"/>
          <w:sz w:val="28"/>
          <w:szCs w:val="28"/>
        </w:rPr>
      </w:pPr>
      <w:r>
        <w:rPr>
          <w:rFonts w:hint="eastAsia" w:ascii="宋体" w:hAnsi="宋体" w:eastAsia="宋体" w:cstheme="minorEastAsia"/>
          <w:color w:val="000000"/>
          <w:kern w:val="0"/>
          <w:sz w:val="28"/>
          <w:szCs w:val="28"/>
        </w:rPr>
        <w:t>五是建立全过程考核链，激发内在驱动力。</w:t>
      </w:r>
      <w:r>
        <w:rPr>
          <w:rFonts w:hint="eastAsia" w:ascii="宋体" w:hAnsi="宋体" w:eastAsia="宋体"/>
          <w:sz w:val="28"/>
          <w:szCs w:val="28"/>
        </w:rPr>
        <w:t>在人才引进中注重思想政治及师德师风考核，严把进人关——新进教师培训中，注重育德意识及育德能力培养，树立正确教师职业观——教师教育教学过程中，实施</w:t>
      </w:r>
      <w:r>
        <w:rPr>
          <w:rFonts w:hint="eastAsia" w:ascii="宋体" w:hAnsi="宋体" w:eastAsia="宋体" w:cstheme="minorEastAsia"/>
          <w:color w:val="000000"/>
          <w:kern w:val="0"/>
          <w:sz w:val="28"/>
          <w:szCs w:val="28"/>
        </w:rPr>
        <w:t>课程思政全过程考核</w:t>
      </w:r>
      <w:r>
        <w:rPr>
          <w:rFonts w:hint="eastAsia" w:ascii="宋体" w:hAnsi="宋体" w:eastAsia="宋体"/>
          <w:sz w:val="28"/>
          <w:szCs w:val="28"/>
        </w:rPr>
        <w:t>，切实提高教师育人水平。在教学大纲、教学计划、教案设计、课堂教学、试卷内容、学生反馈等环节，分别设置课程思政考核要求和考核标准，确保课程思政贯穿教育教学全过程，以考核倒逼应用型教师思政元素，以考核反哺应用型人才培养成效。</w:t>
      </w:r>
    </w:p>
    <w:p>
      <w:pPr>
        <w:pStyle w:val="10"/>
        <w:adjustRightInd w:val="0"/>
        <w:snapToGrid w:val="0"/>
        <w:spacing w:before="0" w:beforeAutospacing="0" w:after="0" w:afterAutospacing="0" w:line="360" w:lineRule="auto"/>
        <w:ind w:firstLine="562" w:firstLineChars="200"/>
        <w:rPr>
          <w:b/>
          <w:sz w:val="28"/>
          <w:szCs w:val="28"/>
        </w:rPr>
      </w:pPr>
      <w:r>
        <w:rPr>
          <w:rFonts w:hint="eastAsia"/>
          <w:b/>
          <w:sz w:val="28"/>
          <w:szCs w:val="28"/>
        </w:rPr>
        <w:t>三、预期成效</w:t>
      </w:r>
    </w:p>
    <w:p>
      <w:pPr>
        <w:pStyle w:val="10"/>
        <w:adjustRightInd w:val="0"/>
        <w:snapToGrid w:val="0"/>
        <w:spacing w:before="0" w:beforeAutospacing="0" w:after="0" w:afterAutospacing="0" w:line="360" w:lineRule="auto"/>
        <w:ind w:firstLine="562" w:firstLineChars="200"/>
        <w:rPr>
          <w:b/>
          <w:sz w:val="28"/>
          <w:szCs w:val="28"/>
        </w:rPr>
      </w:pPr>
      <w:r>
        <w:rPr>
          <w:rFonts w:hint="eastAsia"/>
          <w:b/>
          <w:sz w:val="28"/>
          <w:szCs w:val="28"/>
        </w:rPr>
        <w:t>(一)编制“1+X”课程思政教学指南</w:t>
      </w:r>
    </w:p>
    <w:p>
      <w:pPr>
        <w:spacing w:line="360" w:lineRule="auto"/>
        <w:ind w:firstLine="551" w:firstLineChars="196"/>
        <w:rPr>
          <w:rFonts w:ascii="宋体" w:hAnsi="宋体" w:eastAsia="宋体"/>
          <w:sz w:val="28"/>
          <w:szCs w:val="28"/>
        </w:rPr>
      </w:pPr>
      <w:r>
        <w:rPr>
          <w:rFonts w:hint="eastAsia" w:ascii="宋体" w:hAnsi="宋体" w:eastAsia="宋体"/>
          <w:b/>
          <w:sz w:val="28"/>
          <w:szCs w:val="28"/>
        </w:rPr>
        <w:t>“1”</w:t>
      </w:r>
      <w:r>
        <w:rPr>
          <w:rFonts w:hint="eastAsia" w:ascii="宋体" w:hAnsi="宋体" w:eastAsia="宋体"/>
          <w:sz w:val="28"/>
          <w:szCs w:val="28"/>
        </w:rPr>
        <w:t>是指：立足高水平应用型高校建设目标，率先编制一套学校层面、体现“香精香料化妆品与绿色化工”学科群特点的课程思政教学指南，</w:t>
      </w:r>
      <w:r>
        <w:rPr>
          <w:rFonts w:ascii="宋体" w:hAnsi="宋体" w:eastAsia="宋体"/>
          <w:sz w:val="28"/>
          <w:szCs w:val="28"/>
        </w:rPr>
        <w:t>为</w:t>
      </w:r>
      <w:r>
        <w:rPr>
          <w:rFonts w:hint="eastAsia" w:ascii="宋体" w:hAnsi="宋体" w:eastAsia="宋体"/>
          <w:sz w:val="28"/>
          <w:szCs w:val="28"/>
        </w:rPr>
        <w:t>编制</w:t>
      </w:r>
      <w:r>
        <w:rPr>
          <w:rFonts w:ascii="宋体" w:hAnsi="宋体" w:eastAsia="宋体"/>
          <w:sz w:val="28"/>
          <w:szCs w:val="28"/>
        </w:rPr>
        <w:t>其他</w:t>
      </w:r>
      <w:r>
        <w:rPr>
          <w:rFonts w:hint="eastAsia" w:ascii="宋体" w:hAnsi="宋体" w:eastAsia="宋体"/>
          <w:sz w:val="28"/>
          <w:szCs w:val="28"/>
        </w:rPr>
        <w:t>学科的教学</w:t>
      </w:r>
      <w:r>
        <w:rPr>
          <w:rFonts w:ascii="宋体" w:hAnsi="宋体" w:eastAsia="宋体"/>
          <w:sz w:val="28"/>
          <w:szCs w:val="28"/>
        </w:rPr>
        <w:t>指南提供</w:t>
      </w:r>
      <w:r>
        <w:rPr>
          <w:rFonts w:hint="eastAsia" w:ascii="宋体" w:hAnsi="宋体" w:eastAsia="宋体"/>
          <w:sz w:val="28"/>
          <w:szCs w:val="28"/>
        </w:rPr>
        <w:t>示范</w:t>
      </w:r>
      <w:r>
        <w:rPr>
          <w:rFonts w:ascii="宋体" w:hAnsi="宋体" w:eastAsia="宋体"/>
          <w:sz w:val="28"/>
          <w:szCs w:val="28"/>
        </w:rPr>
        <w:t>和借鉴</w:t>
      </w:r>
      <w:r>
        <w:rPr>
          <w:rFonts w:hint="eastAsia" w:ascii="宋体" w:hAnsi="宋体" w:eastAsia="宋体"/>
          <w:sz w:val="28"/>
          <w:szCs w:val="28"/>
        </w:rPr>
        <w:t>。</w:t>
      </w:r>
    </w:p>
    <w:p>
      <w:pPr>
        <w:spacing w:line="360" w:lineRule="auto"/>
        <w:rPr>
          <w:rFonts w:ascii="宋体" w:hAnsi="宋体" w:eastAsia="宋体"/>
          <w:sz w:val="28"/>
          <w:szCs w:val="28"/>
        </w:rPr>
      </w:pPr>
      <w:r>
        <w:rPr>
          <w:rFonts w:hint="eastAsia" w:ascii="宋体" w:hAnsi="宋体" w:eastAsia="宋体"/>
          <w:b/>
          <w:sz w:val="28"/>
          <w:szCs w:val="28"/>
        </w:rPr>
        <w:t>“X”</w:t>
      </w:r>
      <w:r>
        <w:rPr>
          <w:rFonts w:hint="eastAsia" w:ascii="宋体" w:hAnsi="宋体" w:eastAsia="宋体"/>
          <w:sz w:val="28"/>
          <w:szCs w:val="28"/>
        </w:rPr>
        <w:t>是指：组织香料学院、材料学院、化工学院、生态学院、经管学院等领航学院，根据学校的指南编制各专业的课程思政教学指南，并形成一套体现领航课程改革效果的课程思政示范案例集。</w:t>
      </w:r>
    </w:p>
    <w:p>
      <w:pPr>
        <w:pStyle w:val="10"/>
        <w:adjustRightInd w:val="0"/>
        <w:snapToGrid w:val="0"/>
        <w:spacing w:before="0" w:beforeAutospacing="0" w:after="0" w:afterAutospacing="0" w:line="360" w:lineRule="auto"/>
        <w:ind w:firstLine="562" w:firstLineChars="200"/>
        <w:rPr>
          <w:b/>
          <w:sz w:val="28"/>
          <w:szCs w:val="28"/>
        </w:rPr>
      </w:pPr>
      <w:r>
        <w:rPr>
          <w:rFonts w:hint="eastAsia"/>
          <w:b/>
          <w:sz w:val="28"/>
          <w:szCs w:val="28"/>
        </w:rPr>
        <w:t>(二)形成完善的课程思政质量标准和制度体系</w:t>
      </w:r>
    </w:p>
    <w:p>
      <w:pPr>
        <w:spacing w:line="360" w:lineRule="auto"/>
        <w:ind w:firstLine="560" w:firstLineChars="200"/>
        <w:jc w:val="left"/>
        <w:rPr>
          <w:rFonts w:ascii="宋体" w:hAnsi="宋体" w:eastAsia="宋体"/>
          <w:sz w:val="28"/>
          <w:szCs w:val="28"/>
        </w:rPr>
      </w:pPr>
      <w:r>
        <w:rPr>
          <w:rFonts w:hint="eastAsia" w:ascii="宋体" w:hAnsi="宋体" w:eastAsia="宋体"/>
          <w:sz w:val="28"/>
          <w:szCs w:val="28"/>
        </w:rPr>
        <w:t>从教学管理、人事制度和考核评价等方面完善质量标准和考核指标，形成一套与上海应用技术大学办学定位相配套的课程思政制度体系。其中，教学管理制度主要涵盖人才培养方案论证、课堂教学及教材管理、教学团队建设、教研室活动、教学大纲与教案修订等内容；人事制度主要包括教师职务聘任、教师培训研修、教师评优奖励等方面的内容；考核评价制度报考二级学院工作考核、二级学院党政领导考核、教学质量监控制度和领航项目绩效评价等内容。</w:t>
      </w:r>
    </w:p>
    <w:p>
      <w:pPr>
        <w:pStyle w:val="10"/>
        <w:adjustRightInd w:val="0"/>
        <w:snapToGrid w:val="0"/>
        <w:spacing w:before="0" w:beforeAutospacing="0" w:after="0" w:afterAutospacing="0" w:line="360" w:lineRule="auto"/>
        <w:ind w:firstLine="562" w:firstLineChars="200"/>
        <w:rPr>
          <w:b/>
          <w:sz w:val="28"/>
          <w:szCs w:val="28"/>
        </w:rPr>
      </w:pPr>
      <w:r>
        <w:rPr>
          <w:rFonts w:hint="eastAsia"/>
          <w:b/>
          <w:sz w:val="28"/>
          <w:szCs w:val="28"/>
        </w:rPr>
        <w:t>(三)打造一批课程思政“金课”和专业文化育人主题活动品牌</w:t>
      </w:r>
    </w:p>
    <w:p>
      <w:pPr>
        <w:spacing w:line="360" w:lineRule="auto"/>
        <w:ind w:firstLine="560" w:firstLineChars="200"/>
        <w:jc w:val="left"/>
        <w:rPr>
          <w:rFonts w:ascii="宋体" w:hAnsi="宋体" w:eastAsia="宋体"/>
          <w:sz w:val="28"/>
          <w:szCs w:val="28"/>
        </w:rPr>
      </w:pPr>
      <w:r>
        <w:rPr>
          <w:rFonts w:hint="eastAsia" w:ascii="宋体" w:hAnsi="宋体" w:eastAsia="宋体"/>
          <w:sz w:val="28"/>
          <w:szCs w:val="28"/>
        </w:rPr>
        <w:t>依托学校的“课程质量提升计划”，建成“上应课程思政金课群”，特别是逐步打造30门体现课程思政要求的在线课程，将课程思政“金课”建设与学校的长三角应用型高校联盟、“援疆”工作、沪豫高校教育合作项目等相结合，扩大教学改革的影响力。同时，自2019年开始持续开展以“文化厚德，精技强国”为主题的“时代·应用”专业文化育人活动，在６个领航学院所涵盖的27个专业中进行重点培育，</w:t>
      </w:r>
      <w:r>
        <w:rPr>
          <w:rFonts w:hint="eastAsia" w:ascii="宋体" w:hAnsi="宋体" w:eastAsia="宋体" w:cs="仿宋"/>
          <w:sz w:val="28"/>
          <w:szCs w:val="28"/>
        </w:rPr>
        <w:t>打造若干体现第一、二、三课堂联动育人的品牌活动。</w:t>
      </w:r>
    </w:p>
    <w:p>
      <w:pPr>
        <w:pStyle w:val="10"/>
        <w:adjustRightInd w:val="0"/>
        <w:snapToGrid w:val="0"/>
        <w:spacing w:before="0" w:beforeAutospacing="0" w:after="0" w:afterAutospacing="0" w:line="360" w:lineRule="auto"/>
        <w:ind w:firstLine="562" w:firstLineChars="200"/>
        <w:rPr>
          <w:b/>
          <w:sz w:val="28"/>
          <w:szCs w:val="28"/>
        </w:rPr>
      </w:pPr>
      <w:r>
        <w:rPr>
          <w:rFonts w:hint="eastAsia"/>
          <w:b/>
          <w:sz w:val="28"/>
          <w:szCs w:val="28"/>
        </w:rPr>
        <w:t>(四)形成一支校企联合的课程思政名师队伍和优秀团队</w:t>
      </w:r>
    </w:p>
    <w:p>
      <w:pPr>
        <w:spacing w:line="360" w:lineRule="auto"/>
        <w:ind w:firstLine="560" w:firstLineChars="200"/>
        <w:jc w:val="left"/>
        <w:rPr>
          <w:rFonts w:ascii="宋体" w:hAnsi="宋体" w:eastAsia="宋体"/>
          <w:sz w:val="28"/>
          <w:szCs w:val="28"/>
        </w:rPr>
      </w:pPr>
      <w:r>
        <w:rPr>
          <w:rFonts w:hint="eastAsia" w:ascii="宋体" w:hAnsi="宋体" w:eastAsia="宋体"/>
          <w:sz w:val="28"/>
          <w:szCs w:val="28"/>
        </w:rPr>
        <w:t>在1年时间内完成对所有二级学院院长、党总支书记、专业责任教授、核心课程责任教授、教研室主任的培训，加强对企业兼职教师在课程思政方面的考核与培训，立项开展一批课程思政专项研究项目，形成一批行业企业专家深度参与，能够深刻把握学科核心素养，擅于挖掘专业育人元素的名师，形成市、校两级课程思政领航团队。</w:t>
      </w:r>
    </w:p>
    <w:p>
      <w:pPr>
        <w:pStyle w:val="10"/>
        <w:adjustRightInd w:val="0"/>
        <w:snapToGrid w:val="0"/>
        <w:spacing w:before="0" w:beforeAutospacing="0" w:after="0" w:afterAutospacing="0" w:line="360" w:lineRule="auto"/>
        <w:ind w:firstLine="562" w:firstLineChars="200"/>
        <w:rPr>
          <w:b/>
          <w:sz w:val="28"/>
          <w:szCs w:val="28"/>
        </w:rPr>
      </w:pPr>
      <w:r>
        <w:rPr>
          <w:rFonts w:hint="eastAsia"/>
          <w:b/>
          <w:sz w:val="28"/>
          <w:szCs w:val="28"/>
        </w:rPr>
        <w:t>(五)搭建课程思政协同育人平台</w:t>
      </w:r>
    </w:p>
    <w:p>
      <w:pPr>
        <w:spacing w:line="360" w:lineRule="auto"/>
        <w:ind w:firstLine="560" w:firstLineChars="200"/>
        <w:jc w:val="left"/>
        <w:rPr>
          <w:rFonts w:ascii="宋体" w:hAnsi="宋体" w:eastAsia="宋体"/>
          <w:sz w:val="28"/>
          <w:szCs w:val="28"/>
        </w:rPr>
      </w:pPr>
      <w:r>
        <w:rPr>
          <w:rFonts w:hint="eastAsia" w:ascii="宋体" w:hAnsi="宋体" w:eastAsia="宋体"/>
          <w:sz w:val="28"/>
          <w:szCs w:val="28"/>
        </w:rPr>
        <w:t>实施“双百工程”，建设一百门校企合作课程和一百项校企合作实验，将课程思政的要求融入课程和实验项目的建设。完善校内外协同育人机制，每年评选3-5个课程思政育人实践基地。与上海市兄弟院校以及长三角应用型高校合作，共建课程思政教学资源库，每年举办1次长三角地区课程思政“金课”教学</w:t>
      </w:r>
      <w:r>
        <w:rPr>
          <w:rFonts w:ascii="宋体" w:hAnsi="宋体" w:eastAsia="宋体"/>
          <w:sz w:val="28"/>
          <w:szCs w:val="28"/>
        </w:rPr>
        <w:t>设计大赛</w:t>
      </w:r>
      <w:r>
        <w:rPr>
          <w:rFonts w:hint="eastAsia" w:ascii="宋体" w:hAnsi="宋体" w:eastAsia="宋体"/>
          <w:sz w:val="28"/>
          <w:szCs w:val="28"/>
        </w:rPr>
        <w:t>和课程思政研讨会。</w:t>
      </w:r>
      <w:r>
        <w:rPr>
          <w:rFonts w:ascii="宋体" w:hAnsi="宋体" w:eastAsia="宋体"/>
          <w:sz w:val="28"/>
          <w:szCs w:val="28"/>
        </w:rPr>
        <w:br w:type="page"/>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r>
        <w:rPr>
          <w:rFonts w:hint="eastAsia"/>
        </w:rPr>
        <w:t xml:space="preserve"> </w:t>
      </w:r>
    </w:p>
    <w:p>
      <w:pPr>
        <w:spacing w:line="360" w:lineRule="auto"/>
      </w:pPr>
    </w:p>
    <w:p>
      <w:pPr>
        <w:spacing w:line="360" w:lineRule="auto"/>
      </w:pPr>
    </w:p>
    <w:p>
      <w:pPr>
        <w:pStyle w:val="2"/>
        <w:spacing w:line="360" w:lineRule="auto"/>
        <w:jc w:val="center"/>
        <w:rPr>
          <w:sz w:val="36"/>
          <w:szCs w:val="36"/>
        </w:rPr>
      </w:pPr>
      <w:bookmarkStart w:id="7" w:name="_Toc131671171"/>
      <w:r>
        <w:rPr>
          <w:rFonts w:hint="eastAsia"/>
          <w:sz w:val="36"/>
          <w:szCs w:val="36"/>
        </w:rPr>
        <w:t>第二部分  五大工程建设</w:t>
      </w:r>
      <w:bookmarkEnd w:id="7"/>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widowControl/>
        <w:spacing w:line="360" w:lineRule="auto"/>
        <w:jc w:val="left"/>
      </w:pPr>
      <w:r>
        <w:br w:type="page"/>
      </w:r>
    </w:p>
    <w:p>
      <w:pPr>
        <w:pStyle w:val="2"/>
        <w:spacing w:before="0" w:after="0" w:line="360" w:lineRule="auto"/>
        <w:jc w:val="center"/>
        <w:rPr>
          <w:rFonts w:asciiTheme="minorEastAsia" w:hAnsiTheme="minorEastAsia"/>
          <w:sz w:val="30"/>
          <w:szCs w:val="30"/>
        </w:rPr>
      </w:pPr>
      <w:bookmarkStart w:id="8" w:name="_Toc131671172"/>
      <w:r>
        <w:rPr>
          <w:rFonts w:hint="eastAsia" w:asciiTheme="minorEastAsia" w:hAnsiTheme="minorEastAsia"/>
          <w:sz w:val="30"/>
          <w:szCs w:val="30"/>
        </w:rPr>
        <w:t>一、金课建设工程</w:t>
      </w:r>
      <w:bookmarkEnd w:id="8"/>
    </w:p>
    <w:p>
      <w:pPr>
        <w:pStyle w:val="2"/>
        <w:spacing w:before="0" w:after="0" w:line="360" w:lineRule="auto"/>
        <w:jc w:val="left"/>
        <w:rPr>
          <w:rFonts w:asciiTheme="minorEastAsia" w:hAnsiTheme="minorEastAsia"/>
          <w:sz w:val="30"/>
          <w:szCs w:val="30"/>
        </w:rPr>
      </w:pPr>
      <w:bookmarkStart w:id="9" w:name="_Toc131671173"/>
      <w:r>
        <w:rPr>
          <w:rFonts w:hint="eastAsia" w:asciiTheme="minorEastAsia" w:hAnsiTheme="minorEastAsia"/>
          <w:sz w:val="30"/>
          <w:szCs w:val="30"/>
        </w:rPr>
        <w:t>（一）各类课程建设成果一览表</w:t>
      </w:r>
      <w:bookmarkEnd w:id="9"/>
    </w:p>
    <w:tbl>
      <w:tblPr>
        <w:tblStyle w:val="11"/>
        <w:tblW w:w="8797" w:type="dxa"/>
        <w:tblInd w:w="-34" w:type="dxa"/>
        <w:tblLayout w:type="autofit"/>
        <w:tblCellMar>
          <w:top w:w="0" w:type="dxa"/>
          <w:left w:w="108" w:type="dxa"/>
          <w:bottom w:w="0" w:type="dxa"/>
          <w:right w:w="108" w:type="dxa"/>
        </w:tblCellMar>
      </w:tblPr>
      <w:tblGrid>
        <w:gridCol w:w="2977"/>
        <w:gridCol w:w="3402"/>
        <w:gridCol w:w="2418"/>
      </w:tblGrid>
      <w:tr>
        <w:tblPrEx>
          <w:tblCellMar>
            <w:top w:w="0" w:type="dxa"/>
            <w:left w:w="108" w:type="dxa"/>
            <w:bottom w:w="0" w:type="dxa"/>
            <w:right w:w="108" w:type="dxa"/>
          </w:tblCellMar>
        </w:tblPrEx>
        <w:trPr>
          <w:trHeight w:val="411" w:hRule="atLeast"/>
        </w:trPr>
        <w:tc>
          <w:tcPr>
            <w:tcW w:w="297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Style w:val="28"/>
                <w:rFonts w:asciiTheme="minorEastAsia" w:hAnsiTheme="minorEastAsia"/>
                <w:b/>
                <w:sz w:val="24"/>
                <w:szCs w:val="24"/>
              </w:rPr>
            </w:pPr>
            <w:r>
              <w:rPr>
                <w:rStyle w:val="28"/>
                <w:rFonts w:hint="eastAsia" w:asciiTheme="minorEastAsia" w:hAnsiTheme="minorEastAsia"/>
                <w:b/>
                <w:sz w:val="24"/>
                <w:szCs w:val="24"/>
              </w:rPr>
              <w:t>建设类别</w:t>
            </w:r>
          </w:p>
        </w:tc>
        <w:tc>
          <w:tcPr>
            <w:tcW w:w="3402"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b/>
                <w:color w:val="000000"/>
                <w:kern w:val="0"/>
                <w:sz w:val="24"/>
                <w:szCs w:val="24"/>
              </w:rPr>
            </w:pPr>
            <w:r>
              <w:rPr>
                <w:rFonts w:hint="eastAsia" w:cs="宋体" w:asciiTheme="minorEastAsia" w:hAnsiTheme="minorEastAsia"/>
                <w:b/>
                <w:color w:val="000000"/>
                <w:kern w:val="0"/>
                <w:sz w:val="24"/>
                <w:szCs w:val="24"/>
              </w:rPr>
              <w:t>课程名称</w:t>
            </w:r>
          </w:p>
        </w:tc>
        <w:tc>
          <w:tcPr>
            <w:tcW w:w="2418"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b/>
                <w:color w:val="000000"/>
                <w:kern w:val="0"/>
                <w:sz w:val="24"/>
                <w:szCs w:val="24"/>
              </w:rPr>
            </w:pPr>
            <w:r>
              <w:rPr>
                <w:rFonts w:hint="eastAsia" w:cs="宋体" w:asciiTheme="minorEastAsia" w:hAnsiTheme="minorEastAsia"/>
                <w:b/>
                <w:color w:val="000000"/>
                <w:kern w:val="0"/>
                <w:sz w:val="24"/>
                <w:szCs w:val="24"/>
              </w:rPr>
              <w:t>负责人</w:t>
            </w:r>
          </w:p>
        </w:tc>
      </w:tr>
      <w:tr>
        <w:tblPrEx>
          <w:tblCellMar>
            <w:top w:w="0" w:type="dxa"/>
            <w:left w:w="108" w:type="dxa"/>
            <w:bottom w:w="0" w:type="dxa"/>
            <w:right w:w="108" w:type="dxa"/>
          </w:tblCellMar>
        </w:tblPrEx>
        <w:trPr>
          <w:trHeight w:val="347" w:hRule="atLeast"/>
        </w:trPr>
        <w:tc>
          <w:tcPr>
            <w:tcW w:w="297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Style w:val="28"/>
                <w:rFonts w:hint="eastAsia" w:asciiTheme="minorEastAsia" w:hAnsiTheme="minorEastAsia"/>
                <w:sz w:val="24"/>
                <w:szCs w:val="24"/>
              </w:rPr>
              <w:t>教育部</w:t>
            </w:r>
            <w:r>
              <w:rPr>
                <w:rStyle w:val="28"/>
                <w:rFonts w:asciiTheme="minorEastAsia" w:hAnsiTheme="minorEastAsia"/>
                <w:sz w:val="24"/>
                <w:szCs w:val="24"/>
              </w:rPr>
              <w:t>课程思政示范课程</w:t>
            </w:r>
          </w:p>
        </w:tc>
        <w:tc>
          <w:tcPr>
            <w:tcW w:w="3402"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高等数学</w:t>
            </w:r>
          </w:p>
        </w:tc>
        <w:tc>
          <w:tcPr>
            <w:tcW w:w="2418"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胡洪江</w:t>
            </w:r>
          </w:p>
        </w:tc>
      </w:tr>
      <w:tr>
        <w:tblPrEx>
          <w:tblCellMar>
            <w:top w:w="0" w:type="dxa"/>
            <w:left w:w="108" w:type="dxa"/>
            <w:bottom w:w="0" w:type="dxa"/>
            <w:right w:w="108" w:type="dxa"/>
          </w:tblCellMar>
        </w:tblPrEx>
        <w:trPr>
          <w:trHeight w:val="270" w:hRule="atLeast"/>
        </w:trPr>
        <w:tc>
          <w:tcPr>
            <w:tcW w:w="2977"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上海市课程思政示范课程</w:t>
            </w:r>
          </w:p>
        </w:tc>
        <w:tc>
          <w:tcPr>
            <w:tcW w:w="340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数字电子技术</w:t>
            </w:r>
          </w:p>
        </w:tc>
        <w:tc>
          <w:tcPr>
            <w:tcW w:w="2418"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陈岚</w:t>
            </w:r>
          </w:p>
        </w:tc>
      </w:tr>
      <w:tr>
        <w:tblPrEx>
          <w:tblCellMar>
            <w:top w:w="0" w:type="dxa"/>
            <w:left w:w="108" w:type="dxa"/>
            <w:bottom w:w="0" w:type="dxa"/>
            <w:right w:w="108" w:type="dxa"/>
          </w:tblCellMar>
        </w:tblPrEx>
        <w:trPr>
          <w:trHeight w:val="270" w:hRule="atLeast"/>
        </w:trPr>
        <w:tc>
          <w:tcPr>
            <w:tcW w:w="297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上海市课程思政示范课程</w:t>
            </w:r>
          </w:p>
        </w:tc>
        <w:tc>
          <w:tcPr>
            <w:tcW w:w="3402"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化工环保与安全</w:t>
            </w:r>
          </w:p>
        </w:tc>
        <w:tc>
          <w:tcPr>
            <w:tcW w:w="2418"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毛海舫</w:t>
            </w:r>
          </w:p>
        </w:tc>
      </w:tr>
      <w:tr>
        <w:tblPrEx>
          <w:tblCellMar>
            <w:top w:w="0" w:type="dxa"/>
            <w:left w:w="108" w:type="dxa"/>
            <w:bottom w:w="0" w:type="dxa"/>
            <w:right w:w="108" w:type="dxa"/>
          </w:tblCellMar>
        </w:tblPrEx>
        <w:trPr>
          <w:trHeight w:val="270" w:hRule="atLeast"/>
        </w:trPr>
        <w:tc>
          <w:tcPr>
            <w:tcW w:w="2977"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上海市课程思政示范课程</w:t>
            </w:r>
          </w:p>
        </w:tc>
        <w:tc>
          <w:tcPr>
            <w:tcW w:w="340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美丽中国</w:t>
            </w:r>
          </w:p>
        </w:tc>
        <w:tc>
          <w:tcPr>
            <w:tcW w:w="2418"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曹扬</w:t>
            </w:r>
          </w:p>
        </w:tc>
      </w:tr>
      <w:tr>
        <w:tblPrEx>
          <w:tblCellMar>
            <w:top w:w="0" w:type="dxa"/>
            <w:left w:w="108" w:type="dxa"/>
            <w:bottom w:w="0" w:type="dxa"/>
            <w:right w:w="108" w:type="dxa"/>
          </w:tblCellMar>
        </w:tblPrEx>
        <w:trPr>
          <w:trHeight w:val="270" w:hRule="atLeast"/>
        </w:trPr>
        <w:tc>
          <w:tcPr>
            <w:tcW w:w="297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上海市课程思政示范课程</w:t>
            </w:r>
          </w:p>
        </w:tc>
        <w:tc>
          <w:tcPr>
            <w:tcW w:w="340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食品安全与品质控制</w:t>
            </w:r>
          </w:p>
        </w:tc>
        <w:tc>
          <w:tcPr>
            <w:tcW w:w="2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周一鸣  周小理</w:t>
            </w:r>
          </w:p>
        </w:tc>
      </w:tr>
      <w:tr>
        <w:tblPrEx>
          <w:tblCellMar>
            <w:top w:w="0" w:type="dxa"/>
            <w:left w:w="108" w:type="dxa"/>
            <w:bottom w:w="0" w:type="dxa"/>
            <w:right w:w="108" w:type="dxa"/>
          </w:tblCellMar>
        </w:tblPrEx>
        <w:trPr>
          <w:trHeight w:val="270" w:hRule="atLeast"/>
        </w:trPr>
        <w:tc>
          <w:tcPr>
            <w:tcW w:w="297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上海市课程思政示范课程</w:t>
            </w:r>
          </w:p>
        </w:tc>
        <w:tc>
          <w:tcPr>
            <w:tcW w:w="3402"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园林工程</w:t>
            </w:r>
          </w:p>
        </w:tc>
        <w:tc>
          <w:tcPr>
            <w:tcW w:w="2418"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吴威</w:t>
            </w:r>
          </w:p>
        </w:tc>
      </w:tr>
      <w:tr>
        <w:tblPrEx>
          <w:tblCellMar>
            <w:top w:w="0" w:type="dxa"/>
            <w:left w:w="108" w:type="dxa"/>
            <w:bottom w:w="0" w:type="dxa"/>
            <w:right w:w="108" w:type="dxa"/>
          </w:tblCellMar>
        </w:tblPrEx>
        <w:trPr>
          <w:trHeight w:val="270" w:hRule="atLeast"/>
        </w:trPr>
        <w:tc>
          <w:tcPr>
            <w:tcW w:w="2977"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上海市课程思政示范课程</w:t>
            </w:r>
          </w:p>
        </w:tc>
        <w:tc>
          <w:tcPr>
            <w:tcW w:w="340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英文报刊阅读</w:t>
            </w:r>
          </w:p>
        </w:tc>
        <w:tc>
          <w:tcPr>
            <w:tcW w:w="2418"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徐晗  孙志青</w:t>
            </w:r>
          </w:p>
        </w:tc>
      </w:tr>
      <w:tr>
        <w:tblPrEx>
          <w:tblCellMar>
            <w:top w:w="0" w:type="dxa"/>
            <w:left w:w="108" w:type="dxa"/>
            <w:bottom w:w="0" w:type="dxa"/>
            <w:right w:w="108" w:type="dxa"/>
          </w:tblCellMar>
        </w:tblPrEx>
        <w:trPr>
          <w:trHeight w:val="270" w:hRule="atLeast"/>
        </w:trPr>
        <w:tc>
          <w:tcPr>
            <w:tcW w:w="2977"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上海市课程思政示范课程</w:t>
            </w:r>
          </w:p>
        </w:tc>
        <w:tc>
          <w:tcPr>
            <w:tcW w:w="340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会展设计</w:t>
            </w:r>
          </w:p>
        </w:tc>
        <w:tc>
          <w:tcPr>
            <w:tcW w:w="2418"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丁斌</w:t>
            </w:r>
          </w:p>
        </w:tc>
      </w:tr>
      <w:tr>
        <w:tblPrEx>
          <w:tblCellMar>
            <w:top w:w="0" w:type="dxa"/>
            <w:left w:w="108" w:type="dxa"/>
            <w:bottom w:w="0" w:type="dxa"/>
            <w:right w:w="108" w:type="dxa"/>
          </w:tblCellMar>
        </w:tblPrEx>
        <w:trPr>
          <w:trHeight w:val="270" w:hRule="atLeast"/>
        </w:trPr>
        <w:tc>
          <w:tcPr>
            <w:tcW w:w="2977"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上海市课程思政示范课程</w:t>
            </w:r>
          </w:p>
        </w:tc>
        <w:tc>
          <w:tcPr>
            <w:tcW w:w="340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社会保障国际比较</w:t>
            </w:r>
          </w:p>
        </w:tc>
        <w:tc>
          <w:tcPr>
            <w:tcW w:w="2418"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戴建兵</w:t>
            </w:r>
          </w:p>
        </w:tc>
      </w:tr>
      <w:tr>
        <w:tblPrEx>
          <w:tblCellMar>
            <w:top w:w="0" w:type="dxa"/>
            <w:left w:w="108" w:type="dxa"/>
            <w:bottom w:w="0" w:type="dxa"/>
            <w:right w:w="108" w:type="dxa"/>
          </w:tblCellMar>
        </w:tblPrEx>
        <w:trPr>
          <w:trHeight w:val="270" w:hRule="atLeast"/>
        </w:trPr>
        <w:tc>
          <w:tcPr>
            <w:tcW w:w="2977"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上海市课程思政示范课程</w:t>
            </w:r>
          </w:p>
        </w:tc>
        <w:tc>
          <w:tcPr>
            <w:tcW w:w="340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人工智能</w:t>
            </w:r>
          </w:p>
        </w:tc>
        <w:tc>
          <w:tcPr>
            <w:tcW w:w="2418"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刘云翔</w:t>
            </w:r>
          </w:p>
        </w:tc>
      </w:tr>
      <w:tr>
        <w:tblPrEx>
          <w:tblCellMar>
            <w:top w:w="0" w:type="dxa"/>
            <w:left w:w="108" w:type="dxa"/>
            <w:bottom w:w="0" w:type="dxa"/>
            <w:right w:w="108" w:type="dxa"/>
          </w:tblCellMar>
        </w:tblPrEx>
        <w:trPr>
          <w:trHeight w:val="270" w:hRule="atLeast"/>
        </w:trPr>
        <w:tc>
          <w:tcPr>
            <w:tcW w:w="2977"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上海市课程思政示范课程</w:t>
            </w:r>
          </w:p>
        </w:tc>
        <w:tc>
          <w:tcPr>
            <w:tcW w:w="340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城市设计</w:t>
            </w:r>
          </w:p>
        </w:tc>
        <w:tc>
          <w:tcPr>
            <w:tcW w:w="2418"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陈飞</w:t>
            </w:r>
          </w:p>
        </w:tc>
      </w:tr>
      <w:tr>
        <w:tblPrEx>
          <w:tblCellMar>
            <w:top w:w="0" w:type="dxa"/>
            <w:left w:w="108" w:type="dxa"/>
            <w:bottom w:w="0" w:type="dxa"/>
            <w:right w:w="108" w:type="dxa"/>
          </w:tblCellMar>
        </w:tblPrEx>
        <w:trPr>
          <w:trHeight w:val="270" w:hRule="atLeast"/>
        </w:trPr>
        <w:tc>
          <w:tcPr>
            <w:tcW w:w="2977"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上海市课程思政示范课程</w:t>
            </w:r>
          </w:p>
        </w:tc>
        <w:tc>
          <w:tcPr>
            <w:tcW w:w="340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城市公共空间设计理论与实践</w:t>
            </w:r>
          </w:p>
        </w:tc>
        <w:tc>
          <w:tcPr>
            <w:tcW w:w="2418"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苟爱萍</w:t>
            </w:r>
          </w:p>
        </w:tc>
      </w:tr>
      <w:tr>
        <w:tblPrEx>
          <w:tblCellMar>
            <w:top w:w="0" w:type="dxa"/>
            <w:left w:w="108" w:type="dxa"/>
            <w:bottom w:w="0" w:type="dxa"/>
            <w:right w:w="108" w:type="dxa"/>
          </w:tblCellMar>
        </w:tblPrEx>
        <w:trPr>
          <w:trHeight w:val="270" w:hRule="atLeast"/>
        </w:trPr>
        <w:tc>
          <w:tcPr>
            <w:tcW w:w="2977"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上海市课程思政示范课程</w:t>
            </w:r>
          </w:p>
        </w:tc>
        <w:tc>
          <w:tcPr>
            <w:tcW w:w="340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香料香精工艺学</w:t>
            </w:r>
          </w:p>
        </w:tc>
        <w:tc>
          <w:tcPr>
            <w:tcW w:w="2418"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易封萍</w:t>
            </w:r>
          </w:p>
        </w:tc>
      </w:tr>
      <w:tr>
        <w:tblPrEx>
          <w:tblCellMar>
            <w:top w:w="0" w:type="dxa"/>
            <w:left w:w="108" w:type="dxa"/>
            <w:bottom w:w="0" w:type="dxa"/>
            <w:right w:w="108" w:type="dxa"/>
          </w:tblCellMar>
        </w:tblPrEx>
        <w:trPr>
          <w:trHeight w:val="270" w:hRule="atLeast"/>
        </w:trPr>
        <w:tc>
          <w:tcPr>
            <w:tcW w:w="2977"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上海市课程思政示范课程</w:t>
            </w:r>
          </w:p>
        </w:tc>
        <w:tc>
          <w:tcPr>
            <w:tcW w:w="340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高等数学</w:t>
            </w:r>
          </w:p>
        </w:tc>
        <w:tc>
          <w:tcPr>
            <w:tcW w:w="2418"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胡洪江</w:t>
            </w:r>
          </w:p>
        </w:tc>
      </w:tr>
      <w:tr>
        <w:tblPrEx>
          <w:tblCellMar>
            <w:top w:w="0" w:type="dxa"/>
            <w:left w:w="108" w:type="dxa"/>
            <w:bottom w:w="0" w:type="dxa"/>
            <w:right w:w="108" w:type="dxa"/>
          </w:tblCellMar>
        </w:tblPrEx>
        <w:trPr>
          <w:trHeight w:val="270" w:hRule="atLeast"/>
        </w:trPr>
        <w:tc>
          <w:tcPr>
            <w:tcW w:w="2977"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上海市课程思政示范课程</w:t>
            </w:r>
          </w:p>
        </w:tc>
        <w:tc>
          <w:tcPr>
            <w:tcW w:w="340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运筹学</w:t>
            </w:r>
          </w:p>
        </w:tc>
        <w:tc>
          <w:tcPr>
            <w:tcW w:w="2418"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李竹宁</w:t>
            </w:r>
          </w:p>
        </w:tc>
      </w:tr>
      <w:tr>
        <w:tblPrEx>
          <w:tblCellMar>
            <w:top w:w="0" w:type="dxa"/>
            <w:left w:w="108" w:type="dxa"/>
            <w:bottom w:w="0" w:type="dxa"/>
            <w:right w:w="108" w:type="dxa"/>
          </w:tblCellMar>
        </w:tblPrEx>
        <w:trPr>
          <w:trHeight w:val="270" w:hRule="atLeast"/>
        </w:trPr>
        <w:tc>
          <w:tcPr>
            <w:tcW w:w="2977"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上海市课程思政示范课程</w:t>
            </w:r>
          </w:p>
        </w:tc>
        <w:tc>
          <w:tcPr>
            <w:tcW w:w="340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Java程序设计</w:t>
            </w:r>
          </w:p>
        </w:tc>
        <w:tc>
          <w:tcPr>
            <w:tcW w:w="2418"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刘胤杰</w:t>
            </w:r>
          </w:p>
        </w:tc>
      </w:tr>
      <w:tr>
        <w:tblPrEx>
          <w:tblCellMar>
            <w:top w:w="0" w:type="dxa"/>
            <w:left w:w="108" w:type="dxa"/>
            <w:bottom w:w="0" w:type="dxa"/>
            <w:right w:w="108" w:type="dxa"/>
          </w:tblCellMar>
        </w:tblPrEx>
        <w:trPr>
          <w:trHeight w:val="270" w:hRule="atLeast"/>
        </w:trPr>
        <w:tc>
          <w:tcPr>
            <w:tcW w:w="29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首届上海市课程思政教学设计展示活动</w:t>
            </w:r>
          </w:p>
        </w:tc>
        <w:tc>
          <w:tcPr>
            <w:tcW w:w="340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乳品工艺学（食品工艺学3）</w:t>
            </w:r>
          </w:p>
        </w:tc>
        <w:tc>
          <w:tcPr>
            <w:tcW w:w="2418"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周一鸣</w:t>
            </w:r>
          </w:p>
        </w:tc>
      </w:tr>
      <w:tr>
        <w:tblPrEx>
          <w:tblCellMar>
            <w:top w:w="0" w:type="dxa"/>
            <w:left w:w="108" w:type="dxa"/>
            <w:bottom w:w="0" w:type="dxa"/>
            <w:right w:w="108" w:type="dxa"/>
          </w:tblCellMar>
        </w:tblPrEx>
        <w:trPr>
          <w:trHeight w:val="270" w:hRule="atLeast"/>
        </w:trPr>
        <w:tc>
          <w:tcPr>
            <w:tcW w:w="29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首届上海市课程思政教学设计展示活动</w:t>
            </w:r>
          </w:p>
        </w:tc>
        <w:tc>
          <w:tcPr>
            <w:tcW w:w="340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轻工技术与工程导论</w:t>
            </w:r>
          </w:p>
        </w:tc>
        <w:tc>
          <w:tcPr>
            <w:tcW w:w="2418"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胡静</w:t>
            </w:r>
          </w:p>
        </w:tc>
      </w:tr>
      <w:tr>
        <w:tblPrEx>
          <w:tblCellMar>
            <w:top w:w="0" w:type="dxa"/>
            <w:left w:w="108" w:type="dxa"/>
            <w:bottom w:w="0" w:type="dxa"/>
            <w:right w:w="108" w:type="dxa"/>
          </w:tblCellMar>
        </w:tblPrEx>
        <w:trPr>
          <w:trHeight w:val="270" w:hRule="atLeast"/>
        </w:trPr>
        <w:tc>
          <w:tcPr>
            <w:tcW w:w="29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首届上海市课程思政教学设计展示活动</w:t>
            </w:r>
          </w:p>
        </w:tc>
        <w:tc>
          <w:tcPr>
            <w:tcW w:w="340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英语口笔译</w:t>
            </w:r>
          </w:p>
        </w:tc>
        <w:tc>
          <w:tcPr>
            <w:tcW w:w="2418"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郑晶</w:t>
            </w:r>
          </w:p>
        </w:tc>
      </w:tr>
      <w:tr>
        <w:tblPrEx>
          <w:tblCellMar>
            <w:top w:w="0" w:type="dxa"/>
            <w:left w:w="108" w:type="dxa"/>
            <w:bottom w:w="0" w:type="dxa"/>
            <w:right w:w="108" w:type="dxa"/>
          </w:tblCellMar>
        </w:tblPrEx>
        <w:trPr>
          <w:trHeight w:val="270" w:hRule="atLeast"/>
        </w:trPr>
        <w:tc>
          <w:tcPr>
            <w:tcW w:w="29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上海高校党史学习教育与课程相融合示范课程</w:t>
            </w:r>
          </w:p>
        </w:tc>
        <w:tc>
          <w:tcPr>
            <w:tcW w:w="340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园林工程</w:t>
            </w:r>
          </w:p>
        </w:tc>
        <w:tc>
          <w:tcPr>
            <w:tcW w:w="2418"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吴威</w:t>
            </w:r>
          </w:p>
        </w:tc>
      </w:tr>
      <w:tr>
        <w:tblPrEx>
          <w:tblCellMar>
            <w:top w:w="0" w:type="dxa"/>
            <w:left w:w="108" w:type="dxa"/>
            <w:bottom w:w="0" w:type="dxa"/>
            <w:right w:w="108" w:type="dxa"/>
          </w:tblCellMar>
        </w:tblPrEx>
        <w:trPr>
          <w:trHeight w:val="270" w:hRule="atLeast"/>
        </w:trPr>
        <w:tc>
          <w:tcPr>
            <w:tcW w:w="29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上海高校党史学习教育与课程相融合示范课程</w:t>
            </w:r>
          </w:p>
        </w:tc>
        <w:tc>
          <w:tcPr>
            <w:tcW w:w="340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微电子工艺学</w:t>
            </w:r>
          </w:p>
        </w:tc>
        <w:tc>
          <w:tcPr>
            <w:tcW w:w="2418"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田甜</w:t>
            </w:r>
          </w:p>
        </w:tc>
      </w:tr>
      <w:tr>
        <w:tblPrEx>
          <w:tblCellMar>
            <w:top w:w="0" w:type="dxa"/>
            <w:left w:w="108" w:type="dxa"/>
            <w:bottom w:w="0" w:type="dxa"/>
            <w:right w:w="108" w:type="dxa"/>
          </w:tblCellMar>
        </w:tblPrEx>
        <w:trPr>
          <w:trHeight w:val="270" w:hRule="atLeast"/>
        </w:trPr>
        <w:tc>
          <w:tcPr>
            <w:tcW w:w="29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上海高校党史学习教育与课程相融合示范课程</w:t>
            </w:r>
          </w:p>
        </w:tc>
        <w:tc>
          <w:tcPr>
            <w:tcW w:w="340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酶工程</w:t>
            </w:r>
          </w:p>
        </w:tc>
        <w:tc>
          <w:tcPr>
            <w:tcW w:w="2418"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李茜茜</w:t>
            </w:r>
          </w:p>
        </w:tc>
      </w:tr>
    </w:tbl>
    <w:p>
      <w:pPr>
        <w:widowControl/>
        <w:spacing w:line="360" w:lineRule="auto"/>
        <w:jc w:val="left"/>
        <w:rPr>
          <w:rFonts w:cs="Times New Roman" w:asciiTheme="minorEastAsia" w:hAnsiTheme="minorEastAsia"/>
          <w:sz w:val="24"/>
          <w:szCs w:val="24"/>
        </w:rPr>
      </w:pPr>
      <w:r>
        <w:rPr>
          <w:rFonts w:cs="Times New Roman" w:asciiTheme="minorEastAsia" w:hAnsiTheme="minorEastAsia"/>
          <w:sz w:val="24"/>
          <w:szCs w:val="24"/>
        </w:rPr>
        <w:br w:type="page"/>
      </w:r>
    </w:p>
    <w:p>
      <w:pPr>
        <w:pStyle w:val="2"/>
        <w:spacing w:before="0" w:after="0" w:line="360" w:lineRule="auto"/>
        <w:ind w:firstLine="446" w:firstLineChars="148"/>
        <w:rPr>
          <w:rFonts w:asciiTheme="minorEastAsia" w:hAnsiTheme="minorEastAsia"/>
          <w:sz w:val="30"/>
          <w:szCs w:val="30"/>
        </w:rPr>
      </w:pPr>
      <w:bookmarkStart w:id="10" w:name="_Toc131671174"/>
      <w:r>
        <w:rPr>
          <w:rFonts w:hint="eastAsia" w:asciiTheme="minorEastAsia" w:hAnsiTheme="minorEastAsia"/>
          <w:sz w:val="30"/>
          <w:szCs w:val="30"/>
        </w:rPr>
        <w:t>（二）部分课程的课程思政建设内容（选摘）</w:t>
      </w:r>
      <w:bookmarkEnd w:id="10"/>
    </w:p>
    <w:p>
      <w:pPr>
        <w:pStyle w:val="19"/>
        <w:widowControl/>
        <w:spacing w:line="360" w:lineRule="auto"/>
        <w:ind w:firstLine="551" w:firstLineChars="196"/>
        <w:jc w:val="left"/>
        <w:rPr>
          <w:rFonts w:cs="Times New Roman" w:asciiTheme="minorEastAsia" w:hAnsiTheme="minorEastAsia"/>
          <w:b/>
          <w:sz w:val="28"/>
          <w:szCs w:val="28"/>
        </w:rPr>
      </w:pPr>
      <w:r>
        <w:rPr>
          <w:rFonts w:hint="eastAsia" w:cs="Times New Roman" w:asciiTheme="minorEastAsia" w:hAnsiTheme="minorEastAsia"/>
          <w:b/>
          <w:sz w:val="28"/>
          <w:szCs w:val="28"/>
        </w:rPr>
        <w:t>1.高等数学</w:t>
      </w:r>
    </w:p>
    <w:p>
      <w:pPr>
        <w:widowControl/>
        <w:spacing w:line="360" w:lineRule="auto"/>
        <w:jc w:val="left"/>
        <w:rPr>
          <w:sz w:val="28"/>
          <w:szCs w:val="28"/>
        </w:rPr>
      </w:pPr>
      <w:r>
        <w:rPr>
          <w:rFonts w:hint="eastAsia"/>
          <w:sz w:val="28"/>
          <w:szCs w:val="28"/>
        </w:rPr>
        <w:t xml:space="preserve">    </w:t>
      </w:r>
      <w:r>
        <w:rPr>
          <w:sz w:val="28"/>
          <w:szCs w:val="28"/>
        </w:rPr>
        <w:t>教育部课程思政教学名师胡洪江老师在</w:t>
      </w:r>
      <w:r>
        <w:rPr>
          <w:rFonts w:hint="eastAsia"/>
          <w:sz w:val="28"/>
          <w:szCs w:val="28"/>
        </w:rPr>
        <w:t>“</w:t>
      </w:r>
      <w:r>
        <w:rPr>
          <w:sz w:val="28"/>
          <w:szCs w:val="28"/>
        </w:rPr>
        <w:t>高等数学</w:t>
      </w:r>
      <w:r>
        <w:rPr>
          <w:rFonts w:hint="eastAsia"/>
          <w:sz w:val="28"/>
          <w:szCs w:val="28"/>
        </w:rPr>
        <w:t>”</w:t>
      </w:r>
      <w:r>
        <w:rPr>
          <w:sz w:val="28"/>
          <w:szCs w:val="28"/>
        </w:rPr>
        <w:t>课堂上，利用数学中的传染病模型、人口流动预测模型，以及交通物流和抗疫物资调配优化等与疫情相关的现实问题，引导学生用数学知识解决实际问题，还带领学生交流讨论，构建融入疫情中的数学建模，增强学生们刻苦钻研的科学精神和战胜疫情的坚定信心。</w:t>
      </w:r>
    </w:p>
    <w:p>
      <w:pPr>
        <w:widowControl/>
        <w:spacing w:line="360" w:lineRule="auto"/>
        <w:jc w:val="center"/>
        <w:rPr>
          <w:rFonts w:cs="Times New Roman" w:asciiTheme="minorEastAsia" w:hAnsiTheme="minorEastAsia"/>
          <w:sz w:val="24"/>
          <w:szCs w:val="24"/>
        </w:rPr>
      </w:pPr>
      <w:r>
        <w:drawing>
          <wp:inline distT="0" distB="0" distL="0" distR="0">
            <wp:extent cx="5200650" cy="43243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206094" cy="4324350"/>
                    </a:xfrm>
                    <a:prstGeom prst="rect">
                      <a:avLst/>
                    </a:prstGeom>
                  </pic:spPr>
                </pic:pic>
              </a:graphicData>
            </a:graphic>
          </wp:inline>
        </w:drawing>
      </w:r>
    </w:p>
    <w:p>
      <w:pPr>
        <w:widowControl/>
        <w:spacing w:line="360" w:lineRule="auto"/>
        <w:jc w:val="left"/>
        <w:rPr>
          <w:rFonts w:cs="Times New Roman" w:asciiTheme="minorEastAsia" w:hAnsiTheme="minorEastAsia"/>
          <w:sz w:val="24"/>
          <w:szCs w:val="24"/>
        </w:rPr>
      </w:pPr>
    </w:p>
    <w:p>
      <w:pPr>
        <w:pStyle w:val="19"/>
        <w:widowControl/>
        <w:spacing w:line="360" w:lineRule="auto"/>
        <w:ind w:firstLine="551" w:firstLineChars="196"/>
        <w:jc w:val="left"/>
        <w:rPr>
          <w:rFonts w:cs="Times New Roman" w:asciiTheme="minorEastAsia" w:hAnsiTheme="minorEastAsia"/>
          <w:b/>
          <w:sz w:val="28"/>
          <w:szCs w:val="28"/>
        </w:rPr>
      </w:pPr>
      <w:r>
        <w:rPr>
          <w:rFonts w:hint="eastAsia" w:cs="Times New Roman" w:asciiTheme="minorEastAsia" w:hAnsiTheme="minorEastAsia"/>
          <w:b/>
          <w:sz w:val="28"/>
          <w:szCs w:val="28"/>
        </w:rPr>
        <w:t>2.乳品工艺学（食品工艺学3）</w:t>
      </w:r>
    </w:p>
    <w:p>
      <w:pPr>
        <w:widowControl/>
        <w:spacing w:line="360" w:lineRule="auto"/>
        <w:ind w:firstLine="560" w:firstLineChars="200"/>
        <w:jc w:val="left"/>
        <w:rPr>
          <w:sz w:val="28"/>
          <w:szCs w:val="28"/>
        </w:rPr>
      </w:pPr>
      <w:r>
        <w:rPr>
          <w:rFonts w:hint="eastAsia"/>
          <w:sz w:val="28"/>
          <w:szCs w:val="28"/>
        </w:rPr>
        <w:t>课程负责人为香化学部周一鸣</w:t>
      </w:r>
      <w:r>
        <w:rPr>
          <w:sz w:val="28"/>
          <w:szCs w:val="28"/>
        </w:rPr>
        <w:t>老师</w:t>
      </w:r>
      <w:r>
        <w:rPr>
          <w:rFonts w:hint="eastAsia"/>
          <w:sz w:val="28"/>
          <w:szCs w:val="28"/>
        </w:rPr>
        <w:t>，该课程</w:t>
      </w:r>
      <w:r>
        <w:rPr>
          <w:sz w:val="28"/>
          <w:szCs w:val="28"/>
        </w:rPr>
        <w:t>是一门“理实结合”的学科专业基础课程，也是整个食品工艺学课程群的重要组成部分。课程</w:t>
      </w:r>
      <w:r>
        <w:rPr>
          <w:rFonts w:hint="eastAsia"/>
          <w:sz w:val="28"/>
          <w:szCs w:val="28"/>
        </w:rPr>
        <w:t>负责人</w:t>
      </w:r>
      <w:r>
        <w:rPr>
          <w:sz w:val="28"/>
          <w:szCs w:val="28"/>
        </w:rPr>
        <w:t>立足专业培养目标，围绕“学食爱食、懂食兴食”凝练思政元素，通过“三结合”“四融入”的教学设计优化内容供给和创新教学方法，培养学生不仅能够全面掌握国内外先进的乳制品加工技术，具备研发新型乳制品和解决复杂工程问题的创新意识、实践能力，还能熟知行业规范、遵从工程伦理，具备精益求精、追求卓越的工匠精神以及深厚的人文情怀</w:t>
      </w:r>
      <w:r>
        <w:rPr>
          <w:rFonts w:hint="eastAsia"/>
          <w:sz w:val="28"/>
          <w:szCs w:val="28"/>
        </w:rPr>
        <w:t>。</w:t>
      </w:r>
    </w:p>
    <w:p>
      <w:pPr>
        <w:widowControl/>
        <w:spacing w:line="360" w:lineRule="auto"/>
        <w:jc w:val="left"/>
        <w:rPr>
          <w:rFonts w:cs="Times New Roman" w:asciiTheme="minorEastAsia" w:hAnsiTheme="minorEastAsia"/>
          <w:sz w:val="24"/>
          <w:szCs w:val="24"/>
        </w:rPr>
      </w:pPr>
      <w:r>
        <w:drawing>
          <wp:inline distT="0" distB="0" distL="0" distR="0">
            <wp:extent cx="5067300" cy="5867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067871" cy="5867400"/>
                    </a:xfrm>
                    <a:prstGeom prst="rect">
                      <a:avLst/>
                    </a:prstGeom>
                  </pic:spPr>
                </pic:pic>
              </a:graphicData>
            </a:graphic>
          </wp:inline>
        </w:drawing>
      </w:r>
    </w:p>
    <w:p>
      <w:pPr>
        <w:pStyle w:val="19"/>
        <w:widowControl/>
        <w:spacing w:line="360" w:lineRule="auto"/>
        <w:ind w:firstLine="551" w:firstLineChars="196"/>
        <w:jc w:val="left"/>
        <w:rPr>
          <w:rFonts w:cs="Times New Roman" w:asciiTheme="minorEastAsia" w:hAnsiTheme="minorEastAsia"/>
          <w:b/>
          <w:sz w:val="28"/>
          <w:szCs w:val="28"/>
        </w:rPr>
      </w:pPr>
    </w:p>
    <w:p>
      <w:pPr>
        <w:pStyle w:val="19"/>
        <w:widowControl/>
        <w:spacing w:line="360" w:lineRule="auto"/>
        <w:ind w:firstLine="551" w:firstLineChars="196"/>
        <w:jc w:val="left"/>
        <w:rPr>
          <w:rFonts w:cs="Times New Roman" w:asciiTheme="minorEastAsia" w:hAnsiTheme="minorEastAsia"/>
          <w:b/>
          <w:sz w:val="28"/>
          <w:szCs w:val="28"/>
        </w:rPr>
      </w:pPr>
      <w:r>
        <w:rPr>
          <w:rFonts w:hint="eastAsia" w:cs="Times New Roman" w:asciiTheme="minorEastAsia" w:hAnsiTheme="minorEastAsia"/>
          <w:b/>
          <w:sz w:val="28"/>
          <w:szCs w:val="28"/>
        </w:rPr>
        <w:t>3.数字电路设计</w:t>
      </w:r>
    </w:p>
    <w:p>
      <w:pPr>
        <w:widowControl/>
        <w:spacing w:line="360" w:lineRule="auto"/>
        <w:ind w:firstLine="560" w:firstLineChars="200"/>
        <w:jc w:val="left"/>
        <w:rPr>
          <w:sz w:val="28"/>
          <w:szCs w:val="28"/>
        </w:rPr>
      </w:pPr>
      <w:r>
        <w:rPr>
          <w:sz w:val="28"/>
          <w:szCs w:val="28"/>
        </w:rPr>
        <w:t>课程</w:t>
      </w:r>
      <w:r>
        <w:rPr>
          <w:rFonts w:hint="eastAsia"/>
          <w:sz w:val="28"/>
          <w:szCs w:val="28"/>
        </w:rPr>
        <w:t>负责人为电气学院陈岚</w:t>
      </w:r>
      <w:r>
        <w:rPr>
          <w:sz w:val="28"/>
          <w:szCs w:val="28"/>
        </w:rPr>
        <w:t>老师</w:t>
      </w:r>
      <w:r>
        <w:rPr>
          <w:rFonts w:hint="eastAsia"/>
          <w:sz w:val="28"/>
          <w:szCs w:val="28"/>
        </w:rPr>
        <w:t>，课程</w:t>
      </w:r>
      <w:r>
        <w:rPr>
          <w:sz w:val="28"/>
          <w:szCs w:val="28"/>
        </w:rPr>
        <w:t>是电类各专业核心课程</w:t>
      </w:r>
      <w:r>
        <w:rPr>
          <w:rFonts w:hint="eastAsia"/>
          <w:sz w:val="28"/>
          <w:szCs w:val="28"/>
        </w:rPr>
        <w:t>，课程立足</w:t>
      </w:r>
      <w:r>
        <w:rPr>
          <w:sz w:val="28"/>
          <w:szCs w:val="28"/>
        </w:rPr>
        <w:t>于培养实践能力强、具有创新精神和国际视野、以一线工程师为主的高素质应用创新型人才的办学定位，抓住“厚德”和“精技”两个关键点，</w:t>
      </w:r>
      <w:r>
        <w:rPr>
          <w:rFonts w:hint="eastAsia"/>
          <w:sz w:val="28"/>
          <w:szCs w:val="28"/>
        </w:rPr>
        <w:t>实施课程教学，系统梳理电子技术发展脉络，揭示技术发展的自然规律，落实辩证思维的文化传承，由点及面加强理论深度和技术难点的解析，提升知识体系培养，同时，推进理论知识向实践和创新能力的转化，以案例、实践教学促进学生提升解决复杂问题能力，引导关键技术突破的责任担当，推进创新能力培养。</w:t>
      </w:r>
    </w:p>
    <w:p>
      <w:pPr>
        <w:pStyle w:val="19"/>
        <w:widowControl/>
        <w:spacing w:line="360" w:lineRule="auto"/>
        <w:ind w:firstLine="0" w:firstLineChars="0"/>
        <w:jc w:val="left"/>
        <w:rPr>
          <w:rFonts w:cs="Times New Roman" w:asciiTheme="minorEastAsia" w:hAnsiTheme="minorEastAsia"/>
          <w:b/>
          <w:sz w:val="24"/>
          <w:szCs w:val="24"/>
        </w:rPr>
      </w:pPr>
      <w:r>
        <w:rPr>
          <w:rFonts w:ascii="华文细黑" w:hAnsi="华文细黑" w:eastAsia="华文细黑"/>
        </w:rPr>
        <w:drawing>
          <wp:inline distT="0" distB="0" distL="0" distR="0">
            <wp:extent cx="5334000" cy="3714750"/>
            <wp:effectExtent l="0" t="0" r="0" b="6350"/>
            <wp:docPr id="59" name="图片 59" descr="C:\Users\lalal\AppData\Local\Temp\WeChat Files\2db0bf5c7bfeba58a084ac625f168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lalal\AppData\Local\Temp\WeChat Files\2db0bf5c7bfeba58a084ac625f168a4.png"/>
                    <pic:cNvPicPr>
                      <a:picLocks noChangeAspect="1" noChangeArrowheads="1"/>
                    </pic:cNvPicPr>
                  </pic:nvPicPr>
                  <pic:blipFill>
                    <a:blip r:embed="rId13"/>
                    <a:srcRect/>
                    <a:stretch>
                      <a:fillRect/>
                    </a:stretch>
                  </pic:blipFill>
                  <pic:spPr>
                    <a:xfrm>
                      <a:off x="0" y="0"/>
                      <a:ext cx="5464073" cy="3714750"/>
                    </a:xfrm>
                    <a:prstGeom prst="rect">
                      <a:avLst/>
                    </a:prstGeom>
                    <a:noFill/>
                    <a:ln>
                      <a:noFill/>
                    </a:ln>
                  </pic:spPr>
                </pic:pic>
              </a:graphicData>
            </a:graphic>
          </wp:inline>
        </w:drawing>
      </w:r>
    </w:p>
    <w:p>
      <w:pPr>
        <w:pStyle w:val="19"/>
        <w:widowControl/>
        <w:spacing w:line="360" w:lineRule="auto"/>
        <w:ind w:firstLine="551" w:firstLineChars="196"/>
        <w:jc w:val="left"/>
        <w:rPr>
          <w:rFonts w:cs="Times New Roman" w:asciiTheme="minorEastAsia" w:hAnsiTheme="minorEastAsia"/>
          <w:b/>
          <w:sz w:val="28"/>
          <w:szCs w:val="28"/>
        </w:rPr>
      </w:pPr>
    </w:p>
    <w:p>
      <w:pPr>
        <w:pStyle w:val="19"/>
        <w:widowControl/>
        <w:spacing w:line="360" w:lineRule="auto"/>
        <w:ind w:firstLine="551" w:firstLineChars="196"/>
        <w:jc w:val="left"/>
        <w:rPr>
          <w:rFonts w:cs="Times New Roman" w:asciiTheme="minorEastAsia" w:hAnsiTheme="minorEastAsia"/>
          <w:b/>
          <w:sz w:val="28"/>
          <w:szCs w:val="28"/>
        </w:rPr>
      </w:pPr>
      <w:r>
        <w:rPr>
          <w:rFonts w:hint="eastAsia" w:cs="Times New Roman" w:asciiTheme="minorEastAsia" w:hAnsiTheme="minorEastAsia"/>
          <w:b/>
          <w:sz w:val="28"/>
          <w:szCs w:val="28"/>
        </w:rPr>
        <w:t>4.英语口笔译</w:t>
      </w:r>
    </w:p>
    <w:p>
      <w:pPr>
        <w:widowControl/>
        <w:spacing w:line="360" w:lineRule="auto"/>
        <w:ind w:firstLine="560" w:firstLineChars="200"/>
        <w:jc w:val="left"/>
        <w:rPr>
          <w:sz w:val="28"/>
          <w:szCs w:val="28"/>
        </w:rPr>
      </w:pPr>
      <w:r>
        <w:rPr>
          <w:sz w:val="28"/>
          <w:szCs w:val="28"/>
        </w:rPr>
        <w:t>课程负责人为</w:t>
      </w:r>
      <w:r>
        <w:rPr>
          <w:rFonts w:hint="eastAsia"/>
          <w:sz w:val="28"/>
          <w:szCs w:val="28"/>
        </w:rPr>
        <w:t>外国语</w:t>
      </w:r>
      <w:r>
        <w:rPr>
          <w:sz w:val="28"/>
          <w:szCs w:val="28"/>
        </w:rPr>
        <w:t>学院</w:t>
      </w:r>
      <w:r>
        <w:rPr>
          <w:rFonts w:hint="eastAsia"/>
          <w:sz w:val="28"/>
          <w:szCs w:val="28"/>
        </w:rPr>
        <w:t>郑晶老师</w:t>
      </w:r>
      <w:r>
        <w:rPr>
          <w:sz w:val="28"/>
          <w:szCs w:val="28"/>
        </w:rPr>
        <w:t>，</w:t>
      </w:r>
      <w:r>
        <w:rPr>
          <w:rFonts w:hint="eastAsia"/>
          <w:sz w:val="28"/>
          <w:szCs w:val="28"/>
        </w:rPr>
        <w:t>该课程作为</w:t>
      </w:r>
      <w:r>
        <w:rPr>
          <w:sz w:val="28"/>
          <w:szCs w:val="28"/>
        </w:rPr>
        <w:t>一门公共外语课程</w:t>
      </w:r>
      <w:r>
        <w:rPr>
          <w:rFonts w:hint="eastAsia"/>
          <w:sz w:val="28"/>
          <w:szCs w:val="28"/>
        </w:rPr>
        <w:t>，</w:t>
      </w:r>
      <w:r>
        <w:rPr>
          <w:sz w:val="28"/>
          <w:szCs w:val="28"/>
        </w:rPr>
        <w:t>强调高校翻译教学的学术性，注重与专业课程的对接，从“知识、能力、情感”三个方面着手，积极</w:t>
      </w:r>
      <w:r>
        <w:rPr>
          <w:rFonts w:hint="eastAsia"/>
          <w:sz w:val="28"/>
          <w:szCs w:val="28"/>
        </w:rPr>
        <w:t>实施</w:t>
      </w:r>
      <w:r>
        <w:rPr>
          <w:sz w:val="28"/>
          <w:szCs w:val="28"/>
        </w:rPr>
        <w:t>“翻转课堂”和“面授课堂”相结合、</w:t>
      </w:r>
      <w:r>
        <w:rPr>
          <w:rFonts w:hint="eastAsia"/>
          <w:sz w:val="28"/>
          <w:szCs w:val="28"/>
        </w:rPr>
        <w:t>“</w:t>
      </w:r>
      <w:r>
        <w:rPr>
          <w:sz w:val="28"/>
          <w:szCs w:val="28"/>
        </w:rPr>
        <w:t>线上输入</w:t>
      </w:r>
      <w:r>
        <w:rPr>
          <w:rFonts w:hint="eastAsia"/>
          <w:sz w:val="28"/>
          <w:szCs w:val="28"/>
        </w:rPr>
        <w:t>”</w:t>
      </w:r>
      <w:r>
        <w:rPr>
          <w:sz w:val="28"/>
          <w:szCs w:val="28"/>
        </w:rPr>
        <w:t>和</w:t>
      </w:r>
      <w:r>
        <w:rPr>
          <w:rFonts w:hint="eastAsia"/>
          <w:sz w:val="28"/>
          <w:szCs w:val="28"/>
        </w:rPr>
        <w:t>“</w:t>
      </w:r>
      <w:r>
        <w:rPr>
          <w:sz w:val="28"/>
          <w:szCs w:val="28"/>
        </w:rPr>
        <w:t>线下输出</w:t>
      </w:r>
      <w:r>
        <w:rPr>
          <w:rFonts w:hint="eastAsia"/>
          <w:sz w:val="28"/>
          <w:szCs w:val="28"/>
        </w:rPr>
        <w:t>”</w:t>
      </w:r>
      <w:r>
        <w:rPr>
          <w:sz w:val="28"/>
          <w:szCs w:val="28"/>
        </w:rPr>
        <w:t>相结合、</w:t>
      </w:r>
      <w:r>
        <w:rPr>
          <w:rFonts w:hint="eastAsia"/>
          <w:sz w:val="28"/>
          <w:szCs w:val="28"/>
        </w:rPr>
        <w:t>“</w:t>
      </w:r>
      <w:r>
        <w:rPr>
          <w:sz w:val="28"/>
          <w:szCs w:val="28"/>
        </w:rPr>
        <w:t>知识建构</w:t>
      </w:r>
      <w:r>
        <w:rPr>
          <w:rFonts w:hint="eastAsia"/>
          <w:sz w:val="28"/>
          <w:szCs w:val="28"/>
        </w:rPr>
        <w:t>”</w:t>
      </w:r>
      <w:r>
        <w:rPr>
          <w:sz w:val="28"/>
          <w:szCs w:val="28"/>
        </w:rPr>
        <w:t>和</w:t>
      </w:r>
      <w:r>
        <w:rPr>
          <w:rFonts w:hint="eastAsia"/>
          <w:sz w:val="28"/>
          <w:szCs w:val="28"/>
        </w:rPr>
        <w:t>“</w:t>
      </w:r>
      <w:r>
        <w:rPr>
          <w:sz w:val="28"/>
          <w:szCs w:val="28"/>
        </w:rPr>
        <w:t>能力培养</w:t>
      </w:r>
      <w:r>
        <w:rPr>
          <w:rFonts w:hint="eastAsia"/>
          <w:sz w:val="28"/>
          <w:szCs w:val="28"/>
        </w:rPr>
        <w:t>”</w:t>
      </w:r>
      <w:r>
        <w:rPr>
          <w:sz w:val="28"/>
          <w:szCs w:val="28"/>
        </w:rPr>
        <w:t>相结合、</w:t>
      </w:r>
      <w:r>
        <w:rPr>
          <w:rFonts w:hint="eastAsia"/>
          <w:sz w:val="28"/>
          <w:szCs w:val="28"/>
        </w:rPr>
        <w:t>“</w:t>
      </w:r>
      <w:r>
        <w:rPr>
          <w:sz w:val="28"/>
          <w:szCs w:val="28"/>
        </w:rPr>
        <w:t>科学素养</w:t>
      </w:r>
      <w:r>
        <w:rPr>
          <w:rFonts w:hint="eastAsia"/>
          <w:sz w:val="28"/>
          <w:szCs w:val="28"/>
        </w:rPr>
        <w:t>”</w:t>
      </w:r>
      <w:r>
        <w:rPr>
          <w:sz w:val="28"/>
          <w:szCs w:val="28"/>
        </w:rPr>
        <w:t>和</w:t>
      </w:r>
      <w:r>
        <w:rPr>
          <w:rFonts w:hint="eastAsia"/>
          <w:sz w:val="28"/>
          <w:szCs w:val="28"/>
        </w:rPr>
        <w:t>“</w:t>
      </w:r>
      <w:r>
        <w:rPr>
          <w:sz w:val="28"/>
          <w:szCs w:val="28"/>
        </w:rPr>
        <w:t>思想品质</w:t>
      </w:r>
      <w:r>
        <w:rPr>
          <w:rFonts w:hint="eastAsia"/>
          <w:sz w:val="28"/>
          <w:szCs w:val="28"/>
        </w:rPr>
        <w:t>”</w:t>
      </w:r>
      <w:r>
        <w:rPr>
          <w:sz w:val="28"/>
          <w:szCs w:val="28"/>
        </w:rPr>
        <w:t>相结合的课程教学体系，通过校园故事、上海故事、中国故事突出本土性，依托实践环节引入丰富多彩、积极向上的素材，激发学生的参与积极性和学习热情。</w:t>
      </w:r>
    </w:p>
    <w:p>
      <w:pPr>
        <w:widowControl/>
        <w:spacing w:line="360" w:lineRule="auto"/>
        <w:jc w:val="left"/>
        <w:rPr>
          <w:rFonts w:cs="Times New Roman" w:asciiTheme="minorEastAsia" w:hAnsiTheme="minorEastAsia"/>
          <w:sz w:val="24"/>
          <w:szCs w:val="24"/>
        </w:rPr>
      </w:pPr>
      <w:r>
        <w:drawing>
          <wp:inline distT="0" distB="0" distL="0" distR="0">
            <wp:extent cx="5010150" cy="6086475"/>
            <wp:effectExtent l="0" t="0" r="635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4"/>
                    <a:stretch>
                      <a:fillRect/>
                    </a:stretch>
                  </pic:blipFill>
                  <pic:spPr>
                    <a:xfrm>
                      <a:off x="0" y="0"/>
                      <a:ext cx="5010150" cy="6085583"/>
                    </a:xfrm>
                    <a:prstGeom prst="rect">
                      <a:avLst/>
                    </a:prstGeom>
                  </pic:spPr>
                </pic:pic>
              </a:graphicData>
            </a:graphic>
          </wp:inline>
        </w:drawing>
      </w:r>
    </w:p>
    <w:p>
      <w:pPr>
        <w:pStyle w:val="19"/>
        <w:widowControl/>
        <w:spacing w:line="360" w:lineRule="auto"/>
        <w:ind w:firstLine="0" w:firstLineChars="0"/>
        <w:jc w:val="left"/>
        <w:rPr>
          <w:rFonts w:cs="Times New Roman" w:asciiTheme="minorEastAsia" w:hAnsiTheme="minorEastAsia"/>
          <w:b/>
          <w:sz w:val="24"/>
          <w:szCs w:val="24"/>
        </w:rPr>
      </w:pPr>
    </w:p>
    <w:p>
      <w:pPr>
        <w:pStyle w:val="19"/>
        <w:widowControl/>
        <w:spacing w:line="360" w:lineRule="auto"/>
        <w:ind w:firstLine="0" w:firstLineChars="0"/>
        <w:jc w:val="left"/>
        <w:rPr>
          <w:rFonts w:cs="Times New Roman" w:asciiTheme="minorEastAsia" w:hAnsiTheme="minorEastAsia"/>
          <w:b/>
          <w:sz w:val="24"/>
          <w:szCs w:val="24"/>
        </w:rPr>
      </w:pPr>
    </w:p>
    <w:p>
      <w:pPr>
        <w:pStyle w:val="19"/>
        <w:widowControl/>
        <w:spacing w:line="360" w:lineRule="auto"/>
        <w:ind w:firstLine="551" w:firstLineChars="196"/>
        <w:jc w:val="left"/>
        <w:rPr>
          <w:rFonts w:cs="Times New Roman" w:asciiTheme="minorEastAsia" w:hAnsiTheme="minorEastAsia"/>
          <w:b/>
          <w:sz w:val="28"/>
          <w:szCs w:val="28"/>
        </w:rPr>
      </w:pPr>
      <w:r>
        <w:rPr>
          <w:rFonts w:hint="eastAsia" w:cs="Times New Roman" w:asciiTheme="minorEastAsia" w:hAnsiTheme="minorEastAsia"/>
          <w:b/>
          <w:sz w:val="28"/>
          <w:szCs w:val="28"/>
        </w:rPr>
        <w:t>5.酶工程</w:t>
      </w:r>
    </w:p>
    <w:p>
      <w:pPr>
        <w:spacing w:line="360" w:lineRule="auto"/>
        <w:ind w:firstLine="560" w:firstLineChars="200"/>
        <w:rPr>
          <w:sz w:val="28"/>
          <w:szCs w:val="28"/>
        </w:rPr>
      </w:pPr>
      <w:r>
        <w:rPr>
          <w:rFonts w:hint="eastAsia"/>
          <w:sz w:val="28"/>
          <w:szCs w:val="28"/>
        </w:rPr>
        <w:t>课程负责人为香化学部李茜茜老师，课程以应用创新型人才思想政治核心素养32个要点和未来工程师“爱科技”（ASciT）九大关键能力为重点，将党史学习教育融入“酶工程”课程育人实践。该课程讲述酶工程在中国共产党的领导下取得显著成效的发展史、老一辈酶工程领域的专家奋斗史，让学生从专业课的角度了解酶工程在中国的蓬勃发展，真切感受到中国共产党带领中国人民站起来、富起来、强起来的伟大历程，激发同学们的爱党爱国情怀。</w:t>
      </w:r>
    </w:p>
    <w:p>
      <w:pPr>
        <w:widowControl/>
        <w:spacing w:line="360" w:lineRule="auto"/>
        <w:jc w:val="left"/>
        <w:rPr>
          <w:spacing w:val="30"/>
        </w:rPr>
      </w:pPr>
      <w:r>
        <w:drawing>
          <wp:inline distT="0" distB="0" distL="0" distR="0">
            <wp:extent cx="5238115" cy="3695700"/>
            <wp:effectExtent l="0" t="0" r="698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236229" cy="3695700"/>
                    </a:xfrm>
                    <a:prstGeom prst="rect">
                      <a:avLst/>
                    </a:prstGeom>
                  </pic:spPr>
                </pic:pic>
              </a:graphicData>
            </a:graphic>
          </wp:inline>
        </w:drawing>
      </w:r>
    </w:p>
    <w:p>
      <w:pPr>
        <w:pStyle w:val="19"/>
        <w:widowControl/>
        <w:spacing w:line="360" w:lineRule="auto"/>
        <w:ind w:firstLine="0" w:firstLineChars="0"/>
        <w:jc w:val="left"/>
        <w:rPr>
          <w:rFonts w:cs="Times New Roman" w:asciiTheme="minorEastAsia" w:hAnsiTheme="minorEastAsia"/>
          <w:b/>
          <w:sz w:val="24"/>
          <w:szCs w:val="24"/>
        </w:rPr>
      </w:pPr>
    </w:p>
    <w:p>
      <w:pPr>
        <w:pStyle w:val="19"/>
        <w:widowControl/>
        <w:spacing w:line="360" w:lineRule="auto"/>
        <w:ind w:firstLine="551" w:firstLineChars="196"/>
        <w:jc w:val="left"/>
        <w:rPr>
          <w:rFonts w:cs="Times New Roman" w:asciiTheme="minorEastAsia" w:hAnsiTheme="minorEastAsia"/>
          <w:b/>
          <w:sz w:val="28"/>
          <w:szCs w:val="28"/>
        </w:rPr>
      </w:pPr>
      <w:r>
        <w:rPr>
          <w:rFonts w:hint="eastAsia" w:cs="Times New Roman" w:asciiTheme="minorEastAsia" w:hAnsiTheme="minorEastAsia"/>
          <w:b/>
          <w:sz w:val="28"/>
          <w:szCs w:val="28"/>
        </w:rPr>
        <w:t>6.园林工程</w:t>
      </w:r>
    </w:p>
    <w:p>
      <w:pPr>
        <w:spacing w:line="360" w:lineRule="auto"/>
        <w:ind w:firstLine="560" w:firstLineChars="200"/>
        <w:rPr>
          <w:sz w:val="28"/>
          <w:szCs w:val="28"/>
        </w:rPr>
      </w:pPr>
      <w:r>
        <w:rPr>
          <w:sz w:val="28"/>
          <w:szCs w:val="28"/>
        </w:rPr>
        <w:t>课程负责人为生态学院吴威</w:t>
      </w:r>
      <w:r>
        <w:rPr>
          <w:rFonts w:hint="eastAsia"/>
          <w:sz w:val="28"/>
          <w:szCs w:val="28"/>
        </w:rPr>
        <w:t>老师</w:t>
      </w:r>
      <w:r>
        <w:rPr>
          <w:sz w:val="28"/>
          <w:szCs w:val="28"/>
        </w:rPr>
        <w:t>，课程系统挖掘党史学习教育育人案例，突出工程实践训练、产教研融合，将党史有机融入园林工程课堂教学。该课程对接“乡村振兴”等国家战略，倡导绿色生态文明，强化“五育并举”理念，突出“劳育”和“美育”，实现以劳增智，以劳育美，将园林工程理论与实践创新相结合，让学生掌握相关知识和工程实践能力的同时心怀“国之大者”，服务生态文明，增强建设“美丽中国”的时代担当。</w:t>
      </w:r>
    </w:p>
    <w:p>
      <w:pPr>
        <w:widowControl/>
        <w:spacing w:line="360" w:lineRule="auto"/>
        <w:jc w:val="left"/>
        <w:rPr>
          <w:spacing w:val="30"/>
        </w:rPr>
      </w:pPr>
      <w:r>
        <w:drawing>
          <wp:inline distT="0" distB="0" distL="0" distR="0">
            <wp:extent cx="5238750" cy="3324225"/>
            <wp:effectExtent l="0" t="0" r="635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5246420" cy="3324225"/>
                    </a:xfrm>
                    <a:prstGeom prst="rect">
                      <a:avLst/>
                    </a:prstGeom>
                  </pic:spPr>
                </pic:pic>
              </a:graphicData>
            </a:graphic>
          </wp:inline>
        </w:drawing>
      </w:r>
    </w:p>
    <w:p>
      <w:pPr>
        <w:pStyle w:val="19"/>
        <w:widowControl/>
        <w:spacing w:line="360" w:lineRule="auto"/>
        <w:ind w:firstLine="0" w:firstLineChars="0"/>
        <w:jc w:val="left"/>
        <w:rPr>
          <w:rFonts w:cs="Times New Roman" w:asciiTheme="minorEastAsia" w:hAnsiTheme="minorEastAsia"/>
          <w:b/>
          <w:sz w:val="28"/>
          <w:szCs w:val="28"/>
        </w:rPr>
      </w:pPr>
    </w:p>
    <w:p>
      <w:pPr>
        <w:pStyle w:val="19"/>
        <w:widowControl/>
        <w:spacing w:line="360" w:lineRule="auto"/>
        <w:ind w:firstLine="551" w:firstLineChars="196"/>
        <w:jc w:val="left"/>
        <w:rPr>
          <w:rFonts w:cs="Times New Roman" w:asciiTheme="minorEastAsia" w:hAnsiTheme="minorEastAsia"/>
          <w:b/>
          <w:sz w:val="28"/>
          <w:szCs w:val="28"/>
        </w:rPr>
      </w:pPr>
      <w:r>
        <w:rPr>
          <w:rFonts w:hint="eastAsia" w:cs="Times New Roman" w:asciiTheme="minorEastAsia" w:hAnsiTheme="minorEastAsia"/>
          <w:b/>
          <w:sz w:val="28"/>
          <w:szCs w:val="28"/>
        </w:rPr>
        <w:t>7.微电子工艺学</w:t>
      </w:r>
    </w:p>
    <w:p>
      <w:pPr>
        <w:spacing w:line="360" w:lineRule="auto"/>
        <w:ind w:firstLine="560" w:firstLineChars="200"/>
        <w:rPr>
          <w:sz w:val="28"/>
          <w:szCs w:val="28"/>
        </w:rPr>
      </w:pPr>
      <w:r>
        <w:rPr>
          <w:rFonts w:hint="eastAsia"/>
          <w:sz w:val="28"/>
          <w:szCs w:val="28"/>
        </w:rPr>
        <w:t>课程负责人为材料学院田甜老师，课程深入挖掘党史案例，将其融入到课堂教学环节中，实现党史学习教育、思想政治教育与知识体系教育的有机结合。该课程介绍“中国集成电路的发展史”，讲解我国开发出第一块大规模集成电路的艰难历程，弘扬老一辈共产党人艰苦奋斗传统美德，在介绍掺杂工艺制备pn结及其原理时，介绍党员先驱科学家抱着振兴中华，报效祖国的光辉奋斗历程，让更多学生“知材懂材”，增强科技报国的意识和情怀。</w:t>
      </w:r>
    </w:p>
    <w:p>
      <w:pPr>
        <w:widowControl/>
        <w:spacing w:line="360" w:lineRule="auto"/>
        <w:jc w:val="center"/>
        <w:rPr>
          <w:spacing w:val="30"/>
        </w:rPr>
      </w:pPr>
      <w:r>
        <w:drawing>
          <wp:inline distT="0" distB="0" distL="0" distR="0">
            <wp:extent cx="4098925" cy="2792730"/>
            <wp:effectExtent l="0" t="0" r="3175"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4098925" cy="2792730"/>
                    </a:xfrm>
                    <a:prstGeom prst="rect">
                      <a:avLst/>
                    </a:prstGeom>
                  </pic:spPr>
                </pic:pic>
              </a:graphicData>
            </a:graphic>
          </wp:inline>
        </w:drawing>
      </w:r>
    </w:p>
    <w:p>
      <w:pPr>
        <w:widowControl/>
        <w:spacing w:line="360" w:lineRule="auto"/>
        <w:jc w:val="left"/>
        <w:rPr>
          <w:spacing w:val="30"/>
        </w:rPr>
      </w:pPr>
    </w:p>
    <w:p>
      <w:pPr>
        <w:pStyle w:val="19"/>
        <w:widowControl/>
        <w:spacing w:line="360" w:lineRule="auto"/>
        <w:ind w:firstLine="551" w:firstLineChars="196"/>
        <w:jc w:val="left"/>
        <w:rPr>
          <w:rFonts w:cs="Times New Roman" w:asciiTheme="minorEastAsia" w:hAnsiTheme="minorEastAsia"/>
          <w:b/>
          <w:sz w:val="28"/>
          <w:szCs w:val="28"/>
        </w:rPr>
      </w:pPr>
      <w:r>
        <w:rPr>
          <w:rFonts w:hint="eastAsia" w:cs="Times New Roman" w:asciiTheme="minorEastAsia" w:hAnsiTheme="minorEastAsia"/>
          <w:b/>
          <w:sz w:val="28"/>
          <w:szCs w:val="28"/>
        </w:rPr>
        <w:t>8.社会保障国际比较</w:t>
      </w:r>
    </w:p>
    <w:p>
      <w:pPr>
        <w:spacing w:line="360" w:lineRule="auto"/>
        <w:ind w:firstLine="560" w:firstLineChars="200"/>
        <w:rPr>
          <w:sz w:val="28"/>
          <w:szCs w:val="28"/>
        </w:rPr>
      </w:pPr>
      <w:r>
        <w:rPr>
          <w:rFonts w:hint="eastAsia"/>
          <w:sz w:val="28"/>
          <w:szCs w:val="28"/>
        </w:rPr>
        <w:t>课程负责人为人文学院教师戴建兵，课程遵循劳动与社会保障专业学科特色和学校培养具有国际视野的高素质应用创新型人才培养要求，以习近平新时代中国特色社会主义思想为指导，坚持“立德树人”，力图通过对各国社会保障制度的比较，对学生进行家国情怀、爱国主义和不同国情教育。在课堂教学，优化课程思政内容供给，设计线上线下两条主线，对学生进行新时代“人民中心”思想、“生命至上”理念、民生保障观念和坚持中国共产党长期执政思想教育。将知识传授、能力培养和价值塑造紧密融合在一起。</w:t>
      </w:r>
    </w:p>
    <w:p>
      <w:pPr>
        <w:spacing w:line="360" w:lineRule="auto"/>
        <w:ind w:firstLine="420" w:firstLineChars="200"/>
        <w:rPr>
          <w:sz w:val="28"/>
          <w:szCs w:val="28"/>
        </w:rPr>
      </w:pPr>
      <w:r>
        <w:drawing>
          <wp:inline distT="0" distB="0" distL="0" distR="0">
            <wp:extent cx="5274310" cy="4359910"/>
            <wp:effectExtent l="0" t="0" r="889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5274310" cy="4360463"/>
                    </a:xfrm>
                    <a:prstGeom prst="rect">
                      <a:avLst/>
                    </a:prstGeom>
                  </pic:spPr>
                </pic:pic>
              </a:graphicData>
            </a:graphic>
          </wp:inline>
        </w:drawing>
      </w:r>
    </w:p>
    <w:p>
      <w:pPr>
        <w:spacing w:line="360" w:lineRule="auto"/>
        <w:ind w:firstLine="560" w:firstLineChars="200"/>
        <w:rPr>
          <w:sz w:val="28"/>
          <w:szCs w:val="28"/>
        </w:rPr>
      </w:pPr>
    </w:p>
    <w:p>
      <w:pPr>
        <w:widowControl/>
        <w:spacing w:line="360" w:lineRule="auto"/>
        <w:jc w:val="left"/>
        <w:rPr>
          <w:spacing w:val="30"/>
        </w:rPr>
      </w:pPr>
    </w:p>
    <w:p>
      <w:pPr>
        <w:widowControl/>
        <w:spacing w:line="360" w:lineRule="auto"/>
        <w:jc w:val="left"/>
        <w:rPr>
          <w:rStyle w:val="16"/>
          <w:rFonts w:cs="Times New Roman" w:asciiTheme="minorEastAsia" w:hAnsiTheme="minorEastAsia"/>
          <w:sz w:val="24"/>
          <w:szCs w:val="24"/>
          <w:u w:val="none"/>
        </w:rPr>
      </w:pPr>
      <w:r>
        <w:rPr>
          <w:rStyle w:val="16"/>
          <w:rFonts w:cs="Times New Roman" w:asciiTheme="minorEastAsia" w:hAnsiTheme="minorEastAsia"/>
          <w:sz w:val="24"/>
          <w:szCs w:val="24"/>
          <w:u w:val="none"/>
        </w:rPr>
        <w:br w:type="page"/>
      </w:r>
    </w:p>
    <w:p>
      <w:pPr>
        <w:pStyle w:val="2"/>
        <w:spacing w:before="0" w:after="0" w:line="360" w:lineRule="auto"/>
        <w:jc w:val="center"/>
      </w:pPr>
      <w:bookmarkStart w:id="11" w:name="_Toc131671175"/>
      <w:r>
        <w:rPr>
          <w:rFonts w:hint="eastAsia" w:asciiTheme="minorEastAsia" w:hAnsiTheme="minorEastAsia"/>
          <w:sz w:val="30"/>
          <w:szCs w:val="30"/>
        </w:rPr>
        <w:t>二、名师培育工程</w:t>
      </w:r>
      <w:bookmarkEnd w:id="11"/>
    </w:p>
    <w:p>
      <w:pPr>
        <w:pStyle w:val="2"/>
        <w:spacing w:before="0" w:after="0" w:line="360" w:lineRule="auto"/>
        <w:ind w:firstLine="446" w:firstLineChars="148"/>
        <w:rPr>
          <w:rFonts w:asciiTheme="minorEastAsia" w:hAnsiTheme="minorEastAsia"/>
          <w:sz w:val="30"/>
          <w:szCs w:val="30"/>
        </w:rPr>
      </w:pPr>
      <w:bookmarkStart w:id="12" w:name="_Toc131671176"/>
      <w:r>
        <w:rPr>
          <w:rFonts w:hint="eastAsia" w:asciiTheme="minorEastAsia" w:hAnsiTheme="minorEastAsia"/>
          <w:sz w:val="30"/>
          <w:szCs w:val="30"/>
        </w:rPr>
        <w:t>（一）各级各类课程思政培训（选摘）</w:t>
      </w:r>
      <w:bookmarkEnd w:id="12"/>
    </w:p>
    <w:p>
      <w:pPr>
        <w:tabs>
          <w:tab w:val="left" w:pos="312"/>
        </w:tabs>
        <w:spacing w:line="360" w:lineRule="auto"/>
        <w:ind w:firstLine="551" w:firstLineChars="196"/>
        <w:rPr>
          <w:b/>
          <w:bCs/>
          <w:sz w:val="28"/>
          <w:szCs w:val="28"/>
        </w:rPr>
      </w:pPr>
      <w:r>
        <w:rPr>
          <w:rFonts w:hint="eastAsia"/>
          <w:b/>
          <w:bCs/>
          <w:sz w:val="28"/>
          <w:szCs w:val="28"/>
        </w:rPr>
        <w:t>1.教育部课程思政线上培训</w:t>
      </w:r>
    </w:p>
    <w:p>
      <w:pPr>
        <w:adjustRightInd w:val="0"/>
        <w:snapToGrid w:val="0"/>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2021年11月，由教育部高等教育司指导，全国高校教师网络培训中心举办，新华网提供支持的高校教师课程思政教学能力培训在北京启动。培训采取线上形式开展，共13讲16学时；我校共有218位教师参加培训。</w:t>
      </w:r>
    </w:p>
    <w:p>
      <w:pPr>
        <w:adjustRightInd w:val="0"/>
        <w:snapToGrid w:val="0"/>
        <w:spacing w:line="360" w:lineRule="auto"/>
        <w:rPr>
          <w:rFonts w:ascii="宋体" w:hAnsi="宋体" w:eastAsia="宋体" w:cs="宋体"/>
          <w:sz w:val="28"/>
          <w:szCs w:val="28"/>
        </w:rPr>
      </w:pPr>
      <w:r>
        <w:rPr>
          <w:sz w:val="28"/>
          <w:szCs w:val="28"/>
        </w:rPr>
        <w:drawing>
          <wp:inline distT="0" distB="0" distL="114300" distR="114300">
            <wp:extent cx="5225415" cy="3009900"/>
            <wp:effectExtent l="0" t="0" r="6985" b="0"/>
            <wp:docPr id="52" name="图片 52" descr="微信图片_2023032114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微信图片_20230321142435"/>
                    <pic:cNvPicPr>
                      <a:picLocks noChangeAspect="1"/>
                    </pic:cNvPicPr>
                  </pic:nvPicPr>
                  <pic:blipFill>
                    <a:blip r:embed="rId19"/>
                    <a:stretch>
                      <a:fillRect/>
                    </a:stretch>
                  </pic:blipFill>
                  <pic:spPr>
                    <a:xfrm>
                      <a:off x="0" y="0"/>
                      <a:ext cx="5225415" cy="3010482"/>
                    </a:xfrm>
                    <a:prstGeom prst="rect">
                      <a:avLst/>
                    </a:prstGeom>
                  </pic:spPr>
                </pic:pic>
              </a:graphicData>
            </a:graphic>
          </wp:inline>
        </w:drawing>
      </w:r>
    </w:p>
    <w:p>
      <w:pPr>
        <w:spacing w:line="360" w:lineRule="auto"/>
        <w:rPr>
          <w:sz w:val="28"/>
          <w:szCs w:val="28"/>
        </w:rPr>
      </w:pPr>
      <w:r>
        <w:drawing>
          <wp:inline distT="0" distB="0" distL="0" distR="0">
            <wp:extent cx="5229225" cy="3076575"/>
            <wp:effectExtent l="0" t="0" r="3175" b="952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0"/>
                    <a:stretch>
                      <a:fillRect/>
                    </a:stretch>
                  </pic:blipFill>
                  <pic:spPr>
                    <a:xfrm>
                      <a:off x="0" y="0"/>
                      <a:ext cx="5229225" cy="3076575"/>
                    </a:xfrm>
                    <a:prstGeom prst="rect">
                      <a:avLst/>
                    </a:prstGeom>
                  </pic:spPr>
                </pic:pic>
              </a:graphicData>
            </a:graphic>
          </wp:inline>
        </w:drawing>
      </w:r>
    </w:p>
    <w:p>
      <w:pPr>
        <w:tabs>
          <w:tab w:val="left" w:pos="312"/>
        </w:tabs>
        <w:spacing w:line="360" w:lineRule="auto"/>
        <w:ind w:firstLine="551" w:firstLineChars="196"/>
        <w:rPr>
          <w:b/>
          <w:bCs/>
          <w:sz w:val="28"/>
          <w:szCs w:val="28"/>
        </w:rPr>
      </w:pPr>
      <w:r>
        <w:rPr>
          <w:rFonts w:hint="eastAsia"/>
          <w:b/>
          <w:bCs/>
          <w:sz w:val="28"/>
          <w:szCs w:val="28"/>
        </w:rPr>
        <w:t>2.课程思政领航计划负责人及骨干教师培训</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2020年是上海应用技术大学课程思政 2.0“建设年”，课程思政整体领航高校“启航年”。为贯彻落实《关于加快构建高校思想政治工作体系的意见》（教思政〔2020〕1 号）和《高等学校课程思政建设指导纲要》（教高〔2020〕3 号）文件精神，进一步提升我校教师的育德意识和育德能力，推进课程思政建设向纵深发展，特举办“课程思政领航计划负责人及骨干教师培训班”。培训班旨在促使我校教师更加坚定理想信念，强化育人意识，找准育人角度，进一步增强将价值塑造、知识传授和能力培养三者融为一体的能力，切实承担好育人责任，确保学校课程思政建设目标落地落实、见功见效。</w:t>
      </w:r>
    </w:p>
    <w:p>
      <w:pPr>
        <w:spacing w:line="360" w:lineRule="auto"/>
        <w:ind w:firstLine="413" w:firstLineChars="147"/>
        <w:rPr>
          <w:rFonts w:ascii="宋体" w:hAnsi="宋体" w:eastAsia="宋体" w:cs="宋体"/>
          <w:sz w:val="28"/>
          <w:szCs w:val="28"/>
        </w:rPr>
      </w:pPr>
      <w:r>
        <w:rPr>
          <w:rFonts w:hint="eastAsia" w:ascii="宋体" w:hAnsi="宋体" w:eastAsia="宋体" w:cs="宋体"/>
          <w:b/>
          <w:bCs/>
          <w:sz w:val="28"/>
          <w:szCs w:val="28"/>
        </w:rPr>
        <w:t>（1）培训对象：</w:t>
      </w:r>
      <w:r>
        <w:rPr>
          <w:rFonts w:hint="eastAsia" w:ascii="宋体" w:hAnsi="宋体" w:eastAsia="宋体" w:cs="宋体"/>
          <w:sz w:val="28"/>
          <w:szCs w:val="28"/>
        </w:rPr>
        <w:t>以领航学院院长和领航团队、领航课程负责人为主，同时根据各模块具体内容邀请二级学院其他负责人和校内外教师参加。</w:t>
      </w:r>
    </w:p>
    <w:p>
      <w:pPr>
        <w:spacing w:line="360" w:lineRule="auto"/>
        <w:ind w:firstLine="413" w:firstLineChars="147"/>
        <w:rPr>
          <w:rFonts w:ascii="宋体" w:hAnsi="宋体" w:eastAsia="宋体" w:cs="宋体"/>
          <w:b/>
          <w:bCs/>
          <w:sz w:val="28"/>
          <w:szCs w:val="28"/>
        </w:rPr>
      </w:pPr>
      <w:r>
        <w:rPr>
          <w:rFonts w:hint="eastAsia" w:ascii="宋体" w:hAnsi="宋体" w:eastAsia="宋体" w:cs="宋体"/>
          <w:b/>
          <w:bCs/>
          <w:sz w:val="28"/>
          <w:szCs w:val="28"/>
        </w:rPr>
        <w:t>（2）培训形式：</w:t>
      </w:r>
      <w:r>
        <w:rPr>
          <w:rFonts w:hint="eastAsia" w:ascii="宋体" w:hAnsi="宋体" w:eastAsia="宋体" w:cs="宋体"/>
          <w:sz w:val="28"/>
          <w:szCs w:val="28"/>
        </w:rPr>
        <w:t>线上线下混合，学校集训、学院研学和个人自学相结合。</w:t>
      </w:r>
    </w:p>
    <w:p>
      <w:pPr>
        <w:spacing w:line="360" w:lineRule="auto"/>
        <w:ind w:firstLine="413" w:firstLineChars="147"/>
        <w:rPr>
          <w:rFonts w:ascii="宋体" w:hAnsi="宋体" w:eastAsia="宋体" w:cs="宋体"/>
          <w:b/>
          <w:bCs/>
          <w:sz w:val="28"/>
          <w:szCs w:val="28"/>
        </w:rPr>
      </w:pPr>
      <w:r>
        <w:rPr>
          <w:rFonts w:hint="eastAsia" w:ascii="宋体" w:hAnsi="宋体" w:eastAsia="宋体" w:cs="宋体"/>
          <w:b/>
          <w:bCs/>
          <w:sz w:val="28"/>
          <w:szCs w:val="28"/>
        </w:rPr>
        <w:t>（3）培训时间：</w:t>
      </w:r>
      <w:r>
        <w:rPr>
          <w:rFonts w:hint="eastAsia" w:ascii="宋体" w:hAnsi="宋体" w:eastAsia="宋体" w:cs="宋体"/>
          <w:sz w:val="28"/>
          <w:szCs w:val="28"/>
        </w:rPr>
        <w:t>2020年6月-10月</w:t>
      </w:r>
    </w:p>
    <w:p>
      <w:pPr>
        <w:spacing w:line="360" w:lineRule="auto"/>
        <w:ind w:firstLine="413" w:firstLineChars="147"/>
        <w:rPr>
          <w:rFonts w:ascii="宋体" w:hAnsi="宋体" w:eastAsia="宋体" w:cs="宋体"/>
          <w:sz w:val="28"/>
          <w:szCs w:val="28"/>
        </w:rPr>
      </w:pPr>
      <w:r>
        <w:rPr>
          <w:rFonts w:hint="eastAsia" w:ascii="宋体" w:hAnsi="宋体" w:eastAsia="宋体" w:cs="宋体"/>
          <w:b/>
          <w:bCs/>
          <w:sz w:val="28"/>
          <w:szCs w:val="28"/>
        </w:rPr>
        <w:t>（4）培训要求</w:t>
      </w:r>
      <w:r>
        <w:rPr>
          <w:rFonts w:hint="eastAsia" w:ascii="宋体" w:hAnsi="宋体" w:eastAsia="宋体" w:cs="宋体"/>
          <w:sz w:val="28"/>
          <w:szCs w:val="28"/>
        </w:rPr>
        <w:t>：培训包括学校统一组织的专题报告、校本经验分享和学院自行安排的集体研学两个阶段，个人自学贯穿其中。专题培训由党委教师工作部和教务处总体负责，学院集体研学由学院课程思政指导委员会负责，各学院要结合学科特点制定集体研学具体方案并落实到位，于7月15日前提交集体研学方案，10月20日前提交具体活动的照片及文字等支撑材料、教学设计案例、精彩教案等资料。</w:t>
      </w:r>
    </w:p>
    <w:p>
      <w:pPr>
        <w:tabs>
          <w:tab w:val="left" w:pos="312"/>
        </w:tabs>
        <w:spacing w:line="360" w:lineRule="auto"/>
        <w:rPr>
          <w:rFonts w:ascii="宋体" w:hAnsi="宋体" w:eastAsia="宋体" w:cs="宋体"/>
          <w:b/>
          <w:bCs/>
          <w:sz w:val="28"/>
          <w:szCs w:val="28"/>
        </w:rPr>
      </w:pPr>
      <w:r>
        <w:rPr>
          <w:rFonts w:hint="eastAsia" w:ascii="宋体" w:hAnsi="宋体" w:eastAsia="宋体" w:cs="宋体"/>
          <w:b/>
          <w:bCs/>
          <w:sz w:val="28"/>
          <w:szCs w:val="28"/>
        </w:rPr>
        <w:t>（5）培训具体安排</w:t>
      </w:r>
    </w:p>
    <w:tbl>
      <w:tblPr>
        <w:tblStyle w:val="11"/>
        <w:tblW w:w="8957" w:type="dxa"/>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2"/>
        <w:gridCol w:w="1095"/>
        <w:gridCol w:w="1125"/>
        <w:gridCol w:w="1155"/>
        <w:gridCol w:w="2010"/>
        <w:gridCol w:w="1125"/>
        <w:gridCol w:w="17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722" w:type="dxa"/>
            <w:vAlign w:val="center"/>
          </w:tcPr>
          <w:p>
            <w:pPr>
              <w:pStyle w:val="43"/>
              <w:spacing w:before="1" w:line="320" w:lineRule="exact"/>
              <w:ind w:right="103"/>
              <w:jc w:val="center"/>
              <w:rPr>
                <w:rFonts w:ascii="宋体" w:hAnsi="宋体" w:eastAsia="宋体" w:cs="宋体"/>
                <w:b/>
                <w:sz w:val="24"/>
                <w:szCs w:val="24"/>
              </w:rPr>
            </w:pPr>
            <w:r>
              <w:rPr>
                <w:rFonts w:hint="eastAsia" w:ascii="宋体" w:hAnsi="宋体" w:eastAsia="宋体" w:cs="宋体"/>
                <w:b/>
                <w:sz w:val="24"/>
                <w:szCs w:val="24"/>
              </w:rPr>
              <w:t>序号</w:t>
            </w:r>
          </w:p>
        </w:tc>
        <w:tc>
          <w:tcPr>
            <w:tcW w:w="1095" w:type="dxa"/>
            <w:vAlign w:val="center"/>
          </w:tcPr>
          <w:p>
            <w:pPr>
              <w:pStyle w:val="43"/>
              <w:jc w:val="center"/>
              <w:rPr>
                <w:rFonts w:ascii="宋体" w:hAnsi="宋体" w:eastAsia="宋体" w:cs="宋体"/>
                <w:b/>
                <w:sz w:val="24"/>
                <w:szCs w:val="24"/>
              </w:rPr>
            </w:pPr>
            <w:r>
              <w:rPr>
                <w:rFonts w:hint="eastAsia" w:ascii="宋体" w:hAnsi="宋体" w:eastAsia="宋体" w:cs="宋体"/>
                <w:b/>
                <w:sz w:val="24"/>
                <w:szCs w:val="24"/>
              </w:rPr>
              <w:t>模块</w:t>
            </w:r>
          </w:p>
        </w:tc>
        <w:tc>
          <w:tcPr>
            <w:tcW w:w="1125" w:type="dxa"/>
            <w:vAlign w:val="center"/>
          </w:tcPr>
          <w:p>
            <w:pPr>
              <w:pStyle w:val="43"/>
              <w:ind w:right="8"/>
              <w:jc w:val="center"/>
              <w:rPr>
                <w:rFonts w:ascii="宋体" w:hAnsi="宋体" w:eastAsia="宋体" w:cs="宋体"/>
                <w:b/>
                <w:sz w:val="24"/>
                <w:szCs w:val="24"/>
              </w:rPr>
            </w:pPr>
            <w:r>
              <w:rPr>
                <w:rFonts w:hint="eastAsia" w:ascii="宋体" w:hAnsi="宋体" w:eastAsia="宋体" w:cs="宋体"/>
                <w:b/>
                <w:sz w:val="24"/>
                <w:szCs w:val="24"/>
              </w:rPr>
              <w:t>时间</w:t>
            </w:r>
          </w:p>
        </w:tc>
        <w:tc>
          <w:tcPr>
            <w:tcW w:w="1155" w:type="dxa"/>
            <w:vAlign w:val="center"/>
          </w:tcPr>
          <w:p>
            <w:pPr>
              <w:pStyle w:val="43"/>
              <w:ind w:right="41"/>
              <w:jc w:val="center"/>
              <w:rPr>
                <w:rFonts w:ascii="宋体" w:hAnsi="宋体" w:eastAsia="宋体" w:cs="宋体"/>
                <w:b/>
                <w:sz w:val="24"/>
                <w:szCs w:val="24"/>
              </w:rPr>
            </w:pPr>
            <w:r>
              <w:rPr>
                <w:rFonts w:hint="eastAsia" w:ascii="宋体" w:hAnsi="宋体" w:eastAsia="宋体" w:cs="宋体"/>
                <w:b/>
                <w:sz w:val="24"/>
                <w:szCs w:val="24"/>
              </w:rPr>
              <w:t>地点</w:t>
            </w:r>
          </w:p>
        </w:tc>
        <w:tc>
          <w:tcPr>
            <w:tcW w:w="2010" w:type="dxa"/>
            <w:vAlign w:val="center"/>
          </w:tcPr>
          <w:p>
            <w:pPr>
              <w:pStyle w:val="43"/>
              <w:ind w:right="152"/>
              <w:jc w:val="center"/>
              <w:rPr>
                <w:rFonts w:ascii="宋体" w:hAnsi="宋体" w:eastAsia="宋体" w:cs="宋体"/>
                <w:b/>
                <w:sz w:val="24"/>
                <w:szCs w:val="24"/>
              </w:rPr>
            </w:pPr>
            <w:r>
              <w:rPr>
                <w:rFonts w:hint="eastAsia" w:ascii="宋体" w:hAnsi="宋体" w:eastAsia="宋体" w:cs="宋体"/>
                <w:b/>
                <w:sz w:val="24"/>
                <w:szCs w:val="24"/>
              </w:rPr>
              <w:t>报告主题</w:t>
            </w:r>
          </w:p>
        </w:tc>
        <w:tc>
          <w:tcPr>
            <w:tcW w:w="1125" w:type="dxa"/>
            <w:vAlign w:val="center"/>
          </w:tcPr>
          <w:p>
            <w:pPr>
              <w:pStyle w:val="43"/>
              <w:ind w:right="6"/>
              <w:jc w:val="center"/>
              <w:rPr>
                <w:rFonts w:ascii="宋体" w:hAnsi="宋体" w:eastAsia="宋体" w:cs="宋体"/>
                <w:b/>
                <w:sz w:val="24"/>
                <w:szCs w:val="24"/>
              </w:rPr>
            </w:pPr>
            <w:r>
              <w:rPr>
                <w:rFonts w:hint="eastAsia" w:ascii="宋体" w:hAnsi="宋体" w:eastAsia="宋体" w:cs="宋体"/>
                <w:b/>
                <w:sz w:val="24"/>
                <w:szCs w:val="24"/>
              </w:rPr>
              <w:t>主讲人</w:t>
            </w:r>
          </w:p>
        </w:tc>
        <w:tc>
          <w:tcPr>
            <w:tcW w:w="1725" w:type="dxa"/>
            <w:vAlign w:val="center"/>
          </w:tcPr>
          <w:p>
            <w:pPr>
              <w:pStyle w:val="43"/>
              <w:ind w:right="144"/>
              <w:jc w:val="center"/>
              <w:rPr>
                <w:rFonts w:ascii="宋体" w:hAnsi="宋体" w:eastAsia="宋体" w:cs="宋体"/>
                <w:b/>
                <w:sz w:val="24"/>
                <w:szCs w:val="24"/>
              </w:rPr>
            </w:pPr>
            <w:r>
              <w:rPr>
                <w:rFonts w:hint="eastAsia" w:ascii="宋体" w:hAnsi="宋体" w:eastAsia="宋体" w:cs="宋体"/>
                <w:b/>
                <w:sz w:val="24"/>
                <w:szCs w:val="24"/>
              </w:rPr>
              <w:t>单位及职务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3" w:hRule="atLeast"/>
        </w:trPr>
        <w:tc>
          <w:tcPr>
            <w:tcW w:w="722" w:type="dxa"/>
            <w:vAlign w:val="center"/>
          </w:tcPr>
          <w:p>
            <w:pPr>
              <w:pStyle w:val="43"/>
              <w:jc w:val="center"/>
              <w:rPr>
                <w:rFonts w:ascii="宋体" w:hAnsi="宋体" w:eastAsia="宋体" w:cs="宋体"/>
                <w:sz w:val="24"/>
                <w:szCs w:val="24"/>
              </w:rPr>
            </w:pPr>
            <w:r>
              <w:rPr>
                <w:rFonts w:hint="eastAsia" w:ascii="宋体" w:hAnsi="宋体" w:eastAsia="宋体" w:cs="宋体"/>
                <w:w w:val="99"/>
                <w:sz w:val="24"/>
                <w:szCs w:val="24"/>
              </w:rPr>
              <w:t>1</w:t>
            </w:r>
          </w:p>
        </w:tc>
        <w:tc>
          <w:tcPr>
            <w:tcW w:w="1095" w:type="dxa"/>
            <w:vAlign w:val="center"/>
          </w:tcPr>
          <w:p>
            <w:pPr>
              <w:pStyle w:val="43"/>
              <w:spacing w:line="288" w:lineRule="auto"/>
              <w:ind w:right="118"/>
              <w:jc w:val="center"/>
              <w:rPr>
                <w:rFonts w:ascii="宋体" w:hAnsi="宋体" w:eastAsia="宋体" w:cs="宋体"/>
                <w:sz w:val="24"/>
                <w:szCs w:val="24"/>
              </w:rPr>
            </w:pPr>
            <w:r>
              <w:rPr>
                <w:rFonts w:hint="eastAsia" w:ascii="宋体" w:hAnsi="宋体" w:eastAsia="宋体" w:cs="宋体"/>
                <w:sz w:val="24"/>
                <w:szCs w:val="24"/>
              </w:rPr>
              <w:t>开班仪式及主题报告</w:t>
            </w:r>
          </w:p>
        </w:tc>
        <w:tc>
          <w:tcPr>
            <w:tcW w:w="1125" w:type="dxa"/>
            <w:vAlign w:val="center"/>
          </w:tcPr>
          <w:p>
            <w:pPr>
              <w:pStyle w:val="43"/>
              <w:ind w:right="8"/>
              <w:jc w:val="center"/>
              <w:rPr>
                <w:rFonts w:ascii="宋体" w:hAnsi="宋体" w:eastAsia="宋体" w:cs="宋体"/>
                <w:sz w:val="24"/>
                <w:szCs w:val="24"/>
              </w:rPr>
            </w:pPr>
            <w:r>
              <w:rPr>
                <w:rFonts w:hint="eastAsia" w:ascii="宋体" w:hAnsi="宋体" w:eastAsia="宋体" w:cs="宋体"/>
                <w:sz w:val="24"/>
                <w:szCs w:val="24"/>
              </w:rPr>
              <w:t xml:space="preserve">6 </w:t>
            </w:r>
            <w:r>
              <w:rPr>
                <w:rFonts w:hint="eastAsia" w:ascii="宋体" w:hAnsi="宋体" w:eastAsia="宋体" w:cs="宋体"/>
                <w:sz w:val="24"/>
                <w:szCs w:val="24"/>
                <w:lang w:val="en-US"/>
              </w:rPr>
              <w:t>月</w:t>
            </w:r>
            <w:r>
              <w:rPr>
                <w:rFonts w:hint="eastAsia" w:ascii="宋体" w:hAnsi="宋体" w:eastAsia="宋体" w:cs="宋体"/>
                <w:sz w:val="24"/>
                <w:szCs w:val="24"/>
              </w:rPr>
              <w:t>24 日</w:t>
            </w:r>
          </w:p>
        </w:tc>
        <w:tc>
          <w:tcPr>
            <w:tcW w:w="1155" w:type="dxa"/>
            <w:vAlign w:val="center"/>
          </w:tcPr>
          <w:p>
            <w:pPr>
              <w:pStyle w:val="43"/>
              <w:spacing w:line="285" w:lineRule="auto"/>
              <w:ind w:right="41"/>
              <w:jc w:val="center"/>
              <w:rPr>
                <w:rFonts w:ascii="宋体" w:hAnsi="宋体" w:eastAsia="宋体" w:cs="宋体"/>
                <w:sz w:val="24"/>
                <w:szCs w:val="24"/>
              </w:rPr>
            </w:pPr>
            <w:r>
              <w:rPr>
                <w:rFonts w:hint="eastAsia" w:ascii="宋体" w:hAnsi="宋体" w:eastAsia="宋体" w:cs="宋体"/>
                <w:spacing w:val="-3"/>
                <w:sz w:val="24"/>
                <w:szCs w:val="24"/>
              </w:rPr>
              <w:t>奉贤校区行</w:t>
            </w:r>
            <w:r>
              <w:rPr>
                <w:rFonts w:hint="eastAsia" w:ascii="宋体" w:hAnsi="宋体" w:eastAsia="宋体" w:cs="宋体"/>
                <w:spacing w:val="-18"/>
                <w:sz w:val="24"/>
                <w:szCs w:val="24"/>
              </w:rPr>
              <w:t xml:space="preserve">政楼 </w:t>
            </w:r>
            <w:r>
              <w:rPr>
                <w:rFonts w:hint="eastAsia" w:ascii="宋体" w:hAnsi="宋体" w:eastAsia="宋体" w:cs="宋体"/>
                <w:sz w:val="24"/>
                <w:szCs w:val="24"/>
              </w:rPr>
              <w:t>117 线上</w:t>
            </w:r>
          </w:p>
        </w:tc>
        <w:tc>
          <w:tcPr>
            <w:tcW w:w="2010" w:type="dxa"/>
            <w:vAlign w:val="center"/>
          </w:tcPr>
          <w:p>
            <w:pPr>
              <w:pStyle w:val="43"/>
              <w:spacing w:before="1" w:line="285" w:lineRule="auto"/>
              <w:ind w:right="155"/>
              <w:jc w:val="center"/>
              <w:rPr>
                <w:rFonts w:ascii="宋体" w:hAnsi="宋体" w:eastAsia="宋体" w:cs="宋体"/>
                <w:sz w:val="24"/>
                <w:szCs w:val="24"/>
              </w:rPr>
            </w:pPr>
            <w:r>
              <w:rPr>
                <w:rFonts w:hint="eastAsia" w:ascii="宋体" w:hAnsi="宋体" w:eastAsia="宋体" w:cs="宋体"/>
                <w:sz w:val="24"/>
                <w:szCs w:val="24"/>
              </w:rPr>
              <w:t>全面构建高校思想政治教育课程体系——课程思政的顶层设计及未来政策思考</w:t>
            </w:r>
          </w:p>
        </w:tc>
        <w:tc>
          <w:tcPr>
            <w:tcW w:w="1125" w:type="dxa"/>
            <w:vAlign w:val="center"/>
          </w:tcPr>
          <w:p>
            <w:pPr>
              <w:pStyle w:val="43"/>
              <w:ind w:right="8"/>
              <w:jc w:val="center"/>
              <w:rPr>
                <w:rFonts w:ascii="宋体" w:hAnsi="宋体" w:eastAsia="宋体" w:cs="宋体"/>
                <w:sz w:val="24"/>
                <w:szCs w:val="24"/>
              </w:rPr>
            </w:pPr>
            <w:r>
              <w:rPr>
                <w:rFonts w:hint="eastAsia" w:ascii="宋体" w:hAnsi="宋体" w:eastAsia="宋体" w:cs="宋体"/>
                <w:sz w:val="24"/>
                <w:szCs w:val="24"/>
              </w:rPr>
              <w:t>高德毅</w:t>
            </w:r>
          </w:p>
        </w:tc>
        <w:tc>
          <w:tcPr>
            <w:tcW w:w="1725" w:type="dxa"/>
            <w:vAlign w:val="center"/>
          </w:tcPr>
          <w:p>
            <w:pPr>
              <w:pStyle w:val="43"/>
              <w:spacing w:before="44" w:line="285" w:lineRule="auto"/>
              <w:ind w:right="147"/>
              <w:jc w:val="center"/>
              <w:rPr>
                <w:rFonts w:ascii="宋体" w:hAnsi="宋体" w:eastAsia="宋体" w:cs="宋体"/>
                <w:sz w:val="24"/>
                <w:szCs w:val="24"/>
              </w:rPr>
            </w:pPr>
            <w:r>
              <w:rPr>
                <w:rFonts w:hint="eastAsia" w:ascii="宋体" w:hAnsi="宋体" w:eastAsia="宋体" w:cs="宋体"/>
                <w:spacing w:val="-3"/>
                <w:sz w:val="24"/>
                <w:szCs w:val="24"/>
              </w:rPr>
              <w:t>教育部思政理论课教学指导</w:t>
            </w:r>
            <w:r>
              <w:rPr>
                <w:rFonts w:hint="eastAsia" w:ascii="宋体" w:hAnsi="宋体" w:eastAsia="宋体" w:cs="宋体"/>
                <w:sz w:val="24"/>
                <w:szCs w:val="24"/>
              </w:rPr>
              <w:t>委员会副主</w:t>
            </w:r>
            <w:r>
              <w:rPr>
                <w:rFonts w:hint="eastAsia" w:ascii="宋体" w:hAnsi="宋体" w:eastAsia="宋体" w:cs="宋体"/>
                <w:spacing w:val="-3"/>
                <w:sz w:val="24"/>
                <w:szCs w:val="24"/>
              </w:rPr>
              <w:t>任、上海市人大外事委员会</w:t>
            </w:r>
            <w:r>
              <w:rPr>
                <w:rFonts w:hint="eastAsia" w:ascii="宋体" w:hAnsi="宋体" w:eastAsia="宋体" w:cs="宋体"/>
                <w:sz w:val="24"/>
                <w:szCs w:val="24"/>
              </w:rPr>
              <w:t>主任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722" w:type="dxa"/>
            <w:vMerge w:val="restart"/>
            <w:vAlign w:val="center"/>
          </w:tcPr>
          <w:p>
            <w:pPr>
              <w:pStyle w:val="43"/>
              <w:jc w:val="center"/>
              <w:rPr>
                <w:rFonts w:ascii="宋体" w:hAnsi="宋体" w:eastAsia="宋体" w:cs="宋体"/>
                <w:sz w:val="24"/>
                <w:szCs w:val="24"/>
              </w:rPr>
            </w:pPr>
            <w:r>
              <w:rPr>
                <w:rFonts w:hint="eastAsia" w:ascii="宋体" w:hAnsi="宋体" w:eastAsia="宋体" w:cs="宋体"/>
                <w:w w:val="99"/>
                <w:sz w:val="24"/>
                <w:szCs w:val="24"/>
              </w:rPr>
              <w:t>2</w:t>
            </w:r>
          </w:p>
        </w:tc>
        <w:tc>
          <w:tcPr>
            <w:tcW w:w="1095" w:type="dxa"/>
            <w:vMerge w:val="restart"/>
            <w:vAlign w:val="center"/>
          </w:tcPr>
          <w:p>
            <w:pPr>
              <w:pStyle w:val="43"/>
              <w:spacing w:line="285" w:lineRule="auto"/>
              <w:ind w:right="118"/>
              <w:jc w:val="center"/>
              <w:rPr>
                <w:rFonts w:ascii="宋体" w:hAnsi="宋体" w:eastAsia="宋体" w:cs="宋体"/>
                <w:sz w:val="24"/>
                <w:szCs w:val="24"/>
              </w:rPr>
            </w:pPr>
            <w:r>
              <w:rPr>
                <w:rFonts w:hint="eastAsia" w:ascii="宋体" w:hAnsi="宋体" w:eastAsia="宋体" w:cs="宋体"/>
                <w:sz w:val="24"/>
                <w:szCs w:val="24"/>
              </w:rPr>
              <w:t>校本经验分享</w:t>
            </w:r>
          </w:p>
        </w:tc>
        <w:tc>
          <w:tcPr>
            <w:tcW w:w="1125" w:type="dxa"/>
            <w:vAlign w:val="center"/>
          </w:tcPr>
          <w:p>
            <w:pPr>
              <w:pStyle w:val="43"/>
              <w:jc w:val="center"/>
              <w:rPr>
                <w:rFonts w:ascii="宋体" w:hAnsi="宋体" w:eastAsia="宋体" w:cs="宋体"/>
                <w:b/>
                <w:sz w:val="24"/>
                <w:szCs w:val="24"/>
              </w:rPr>
            </w:pPr>
          </w:p>
          <w:p>
            <w:pPr>
              <w:pStyle w:val="43"/>
              <w:ind w:right="8"/>
              <w:jc w:val="center"/>
              <w:rPr>
                <w:rFonts w:ascii="宋体" w:hAnsi="宋体" w:eastAsia="宋体" w:cs="宋体"/>
                <w:sz w:val="24"/>
                <w:szCs w:val="24"/>
              </w:rPr>
            </w:pPr>
            <w:r>
              <w:rPr>
                <w:rFonts w:hint="eastAsia" w:ascii="宋体" w:hAnsi="宋体" w:eastAsia="宋体" w:cs="宋体"/>
                <w:sz w:val="24"/>
                <w:szCs w:val="24"/>
              </w:rPr>
              <w:t>7 月 1 日</w:t>
            </w:r>
          </w:p>
        </w:tc>
        <w:tc>
          <w:tcPr>
            <w:tcW w:w="1155" w:type="dxa"/>
            <w:vMerge w:val="restart"/>
            <w:vAlign w:val="center"/>
          </w:tcPr>
          <w:p>
            <w:pPr>
              <w:pStyle w:val="43"/>
              <w:spacing w:line="285" w:lineRule="auto"/>
              <w:ind w:right="149"/>
              <w:jc w:val="center"/>
              <w:rPr>
                <w:rFonts w:ascii="宋体" w:hAnsi="宋体" w:eastAsia="宋体" w:cs="宋体"/>
                <w:sz w:val="24"/>
                <w:szCs w:val="24"/>
              </w:rPr>
            </w:pPr>
            <w:r>
              <w:rPr>
                <w:rFonts w:hint="eastAsia" w:ascii="宋体" w:hAnsi="宋体" w:eastAsia="宋体" w:cs="宋体"/>
                <w:sz w:val="24"/>
                <w:szCs w:val="24"/>
              </w:rPr>
              <w:t>奉贤校区线上</w:t>
            </w:r>
          </w:p>
        </w:tc>
        <w:tc>
          <w:tcPr>
            <w:tcW w:w="2010" w:type="dxa"/>
            <w:vAlign w:val="center"/>
          </w:tcPr>
          <w:p>
            <w:pPr>
              <w:pStyle w:val="43"/>
              <w:spacing w:before="1" w:line="320" w:lineRule="exact"/>
              <w:ind w:right="97"/>
              <w:jc w:val="center"/>
              <w:rPr>
                <w:rFonts w:ascii="宋体" w:hAnsi="宋体" w:eastAsia="宋体" w:cs="宋体"/>
                <w:sz w:val="24"/>
                <w:szCs w:val="24"/>
              </w:rPr>
            </w:pPr>
            <w:r>
              <w:rPr>
                <w:rFonts w:hint="eastAsia" w:ascii="宋体" w:hAnsi="宋体" w:eastAsia="宋体" w:cs="宋体"/>
                <w:spacing w:val="-13"/>
                <w:sz w:val="24"/>
                <w:szCs w:val="24"/>
              </w:rPr>
              <w:t>领航学院、团队汇报</w:t>
            </w:r>
            <w:r>
              <w:rPr>
                <w:rFonts w:hint="eastAsia" w:ascii="宋体" w:hAnsi="宋体" w:eastAsia="宋体" w:cs="宋体"/>
                <w:sz w:val="24"/>
                <w:szCs w:val="24"/>
              </w:rPr>
              <w:t>展示</w:t>
            </w:r>
          </w:p>
        </w:tc>
        <w:tc>
          <w:tcPr>
            <w:tcW w:w="1125" w:type="dxa"/>
            <w:vAlign w:val="center"/>
          </w:tcPr>
          <w:p>
            <w:pPr>
              <w:pStyle w:val="43"/>
              <w:ind w:right="8"/>
              <w:jc w:val="center"/>
              <w:rPr>
                <w:rFonts w:ascii="宋体" w:hAnsi="宋体" w:eastAsia="宋体" w:cs="宋体"/>
                <w:sz w:val="24"/>
                <w:szCs w:val="24"/>
              </w:rPr>
            </w:pPr>
            <w:r>
              <w:rPr>
                <w:rFonts w:hint="eastAsia" w:ascii="宋体" w:hAnsi="宋体" w:eastAsia="宋体" w:cs="宋体"/>
                <w:sz w:val="24"/>
                <w:szCs w:val="24"/>
              </w:rPr>
              <w:t>校内</w:t>
            </w:r>
          </w:p>
        </w:tc>
        <w:tc>
          <w:tcPr>
            <w:tcW w:w="1725" w:type="dxa"/>
            <w:vAlign w:val="center"/>
          </w:tcPr>
          <w:p>
            <w:pPr>
              <w:pStyle w:val="43"/>
              <w:jc w:val="center"/>
              <w:rPr>
                <w:rFonts w:ascii="宋体" w:hAnsi="宋体" w:eastAsia="宋体" w:cs="宋体"/>
                <w:b/>
                <w:sz w:val="24"/>
                <w:szCs w:val="24"/>
              </w:rPr>
            </w:pPr>
          </w:p>
          <w:p>
            <w:pPr>
              <w:pStyle w:val="43"/>
              <w:jc w:val="center"/>
              <w:rPr>
                <w:rFonts w:ascii="宋体" w:hAnsi="宋体" w:eastAsia="宋体" w:cs="宋体"/>
                <w:sz w:val="24"/>
                <w:szCs w:val="24"/>
              </w:rPr>
            </w:pPr>
            <w:r>
              <w:rPr>
                <w:rFonts w:hint="eastAsia" w:ascii="宋体" w:hAnsi="宋体" w:eastAsia="宋体" w:cs="宋体"/>
                <w:w w:val="99"/>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722" w:type="dxa"/>
            <w:vMerge w:val="continue"/>
            <w:tcBorders>
              <w:top w:val="nil"/>
            </w:tcBorders>
            <w:vAlign w:val="center"/>
          </w:tcPr>
          <w:p>
            <w:pPr>
              <w:jc w:val="center"/>
              <w:rPr>
                <w:rFonts w:ascii="宋体" w:hAnsi="宋体" w:eastAsia="宋体" w:cs="宋体"/>
                <w:sz w:val="24"/>
                <w:szCs w:val="24"/>
              </w:rPr>
            </w:pPr>
          </w:p>
        </w:tc>
        <w:tc>
          <w:tcPr>
            <w:tcW w:w="1095" w:type="dxa"/>
            <w:vMerge w:val="continue"/>
            <w:tcBorders>
              <w:top w:val="nil"/>
            </w:tcBorders>
            <w:vAlign w:val="center"/>
          </w:tcPr>
          <w:p>
            <w:pPr>
              <w:jc w:val="center"/>
              <w:rPr>
                <w:rFonts w:ascii="宋体" w:hAnsi="宋体" w:eastAsia="宋体" w:cs="宋体"/>
                <w:sz w:val="24"/>
                <w:szCs w:val="24"/>
              </w:rPr>
            </w:pPr>
          </w:p>
        </w:tc>
        <w:tc>
          <w:tcPr>
            <w:tcW w:w="1125" w:type="dxa"/>
            <w:vAlign w:val="center"/>
          </w:tcPr>
          <w:p>
            <w:pPr>
              <w:pStyle w:val="43"/>
              <w:spacing w:before="12"/>
              <w:jc w:val="center"/>
              <w:rPr>
                <w:rFonts w:ascii="宋体" w:hAnsi="宋体" w:eastAsia="宋体" w:cs="宋体"/>
                <w:b/>
                <w:sz w:val="24"/>
                <w:szCs w:val="24"/>
              </w:rPr>
            </w:pPr>
          </w:p>
          <w:p>
            <w:pPr>
              <w:pStyle w:val="43"/>
              <w:ind w:right="8"/>
              <w:jc w:val="center"/>
              <w:rPr>
                <w:rFonts w:ascii="宋体" w:hAnsi="宋体" w:eastAsia="宋体" w:cs="宋体"/>
                <w:sz w:val="24"/>
                <w:szCs w:val="24"/>
              </w:rPr>
            </w:pPr>
            <w:r>
              <w:rPr>
                <w:rFonts w:hint="eastAsia" w:ascii="宋体" w:hAnsi="宋体" w:eastAsia="宋体" w:cs="宋体"/>
                <w:sz w:val="24"/>
                <w:szCs w:val="24"/>
              </w:rPr>
              <w:t>7 月中旬</w:t>
            </w:r>
          </w:p>
        </w:tc>
        <w:tc>
          <w:tcPr>
            <w:tcW w:w="1155" w:type="dxa"/>
            <w:vMerge w:val="continue"/>
            <w:tcBorders>
              <w:top w:val="nil"/>
            </w:tcBorders>
            <w:vAlign w:val="center"/>
          </w:tcPr>
          <w:p>
            <w:pPr>
              <w:jc w:val="center"/>
              <w:rPr>
                <w:rFonts w:ascii="宋体" w:hAnsi="宋体" w:eastAsia="宋体" w:cs="宋体"/>
                <w:sz w:val="24"/>
                <w:szCs w:val="24"/>
              </w:rPr>
            </w:pPr>
          </w:p>
        </w:tc>
        <w:tc>
          <w:tcPr>
            <w:tcW w:w="2010" w:type="dxa"/>
            <w:vAlign w:val="center"/>
          </w:tcPr>
          <w:p>
            <w:pPr>
              <w:pStyle w:val="43"/>
              <w:spacing w:before="44"/>
              <w:ind w:right="84"/>
              <w:jc w:val="center"/>
              <w:rPr>
                <w:rFonts w:ascii="宋体" w:hAnsi="宋体" w:eastAsia="宋体" w:cs="宋体"/>
                <w:sz w:val="24"/>
                <w:szCs w:val="24"/>
              </w:rPr>
            </w:pPr>
            <w:r>
              <w:rPr>
                <w:rFonts w:hint="eastAsia" w:ascii="宋体" w:hAnsi="宋体" w:eastAsia="宋体" w:cs="宋体"/>
                <w:sz w:val="24"/>
                <w:szCs w:val="24"/>
              </w:rPr>
              <w:t>10 门课程思政示范课程展示</w:t>
            </w:r>
          </w:p>
        </w:tc>
        <w:tc>
          <w:tcPr>
            <w:tcW w:w="1125" w:type="dxa"/>
            <w:vAlign w:val="center"/>
          </w:tcPr>
          <w:p>
            <w:pPr>
              <w:pStyle w:val="43"/>
              <w:spacing w:before="12"/>
              <w:jc w:val="center"/>
              <w:rPr>
                <w:rFonts w:ascii="宋体" w:hAnsi="宋体" w:eastAsia="宋体" w:cs="宋体"/>
                <w:b/>
                <w:sz w:val="24"/>
                <w:szCs w:val="24"/>
              </w:rPr>
            </w:pPr>
          </w:p>
          <w:p>
            <w:pPr>
              <w:pStyle w:val="43"/>
              <w:ind w:right="8"/>
              <w:jc w:val="center"/>
              <w:rPr>
                <w:rFonts w:ascii="宋体" w:hAnsi="宋体" w:eastAsia="宋体" w:cs="宋体"/>
                <w:sz w:val="24"/>
                <w:szCs w:val="24"/>
              </w:rPr>
            </w:pPr>
            <w:r>
              <w:rPr>
                <w:rFonts w:hint="eastAsia" w:ascii="宋体" w:hAnsi="宋体" w:eastAsia="宋体" w:cs="宋体"/>
                <w:sz w:val="24"/>
                <w:szCs w:val="24"/>
              </w:rPr>
              <w:t>校内</w:t>
            </w:r>
          </w:p>
        </w:tc>
        <w:tc>
          <w:tcPr>
            <w:tcW w:w="1725" w:type="dxa"/>
            <w:vAlign w:val="center"/>
          </w:tcPr>
          <w:p>
            <w:pPr>
              <w:pStyle w:val="43"/>
              <w:spacing w:before="12"/>
              <w:jc w:val="center"/>
              <w:rPr>
                <w:rFonts w:ascii="宋体" w:hAnsi="宋体" w:eastAsia="宋体" w:cs="宋体"/>
                <w:b/>
                <w:sz w:val="24"/>
                <w:szCs w:val="24"/>
              </w:rPr>
            </w:pPr>
          </w:p>
          <w:p>
            <w:pPr>
              <w:pStyle w:val="43"/>
              <w:jc w:val="center"/>
              <w:rPr>
                <w:rFonts w:ascii="宋体" w:hAnsi="宋体" w:eastAsia="宋体" w:cs="宋体"/>
                <w:sz w:val="24"/>
                <w:szCs w:val="24"/>
              </w:rPr>
            </w:pPr>
            <w:r>
              <w:rPr>
                <w:rFonts w:hint="eastAsia" w:ascii="宋体" w:hAnsi="宋体" w:eastAsia="宋体" w:cs="宋体"/>
                <w:w w:val="99"/>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722" w:type="dxa"/>
            <w:vMerge w:val="restart"/>
            <w:vAlign w:val="center"/>
          </w:tcPr>
          <w:p>
            <w:pPr>
              <w:pStyle w:val="43"/>
              <w:spacing w:before="150"/>
              <w:jc w:val="center"/>
              <w:rPr>
                <w:rFonts w:ascii="宋体" w:hAnsi="宋体" w:eastAsia="宋体" w:cs="宋体"/>
                <w:sz w:val="24"/>
                <w:szCs w:val="24"/>
              </w:rPr>
            </w:pPr>
            <w:r>
              <w:rPr>
                <w:rFonts w:hint="eastAsia" w:ascii="宋体" w:hAnsi="宋体" w:eastAsia="宋体" w:cs="宋体"/>
                <w:w w:val="99"/>
                <w:sz w:val="24"/>
                <w:szCs w:val="24"/>
              </w:rPr>
              <w:t>3</w:t>
            </w:r>
          </w:p>
        </w:tc>
        <w:tc>
          <w:tcPr>
            <w:tcW w:w="1095" w:type="dxa"/>
            <w:vMerge w:val="restart"/>
            <w:vAlign w:val="center"/>
          </w:tcPr>
          <w:p>
            <w:pPr>
              <w:pStyle w:val="43"/>
              <w:spacing w:before="150"/>
              <w:jc w:val="center"/>
              <w:rPr>
                <w:rFonts w:ascii="宋体" w:hAnsi="宋体" w:eastAsia="宋体" w:cs="宋体"/>
                <w:sz w:val="24"/>
                <w:szCs w:val="24"/>
              </w:rPr>
            </w:pPr>
            <w:r>
              <w:rPr>
                <w:rFonts w:hint="eastAsia" w:ascii="宋体" w:hAnsi="宋体" w:eastAsia="宋体" w:cs="宋体"/>
                <w:sz w:val="24"/>
                <w:szCs w:val="24"/>
              </w:rPr>
              <w:t>专题培训</w:t>
            </w:r>
          </w:p>
        </w:tc>
        <w:tc>
          <w:tcPr>
            <w:tcW w:w="1125" w:type="dxa"/>
            <w:vMerge w:val="restart"/>
            <w:vAlign w:val="center"/>
          </w:tcPr>
          <w:p>
            <w:pPr>
              <w:pStyle w:val="43"/>
              <w:spacing w:before="150"/>
              <w:jc w:val="center"/>
              <w:rPr>
                <w:rFonts w:ascii="宋体" w:hAnsi="宋体" w:eastAsia="宋体" w:cs="宋体"/>
                <w:sz w:val="24"/>
                <w:szCs w:val="24"/>
              </w:rPr>
            </w:pPr>
            <w:r>
              <w:rPr>
                <w:rFonts w:hint="eastAsia" w:ascii="宋体" w:hAnsi="宋体" w:eastAsia="宋体" w:cs="宋体"/>
                <w:sz w:val="24"/>
                <w:szCs w:val="24"/>
              </w:rPr>
              <w:t>9 月中下旬</w:t>
            </w:r>
          </w:p>
        </w:tc>
        <w:tc>
          <w:tcPr>
            <w:tcW w:w="1155" w:type="dxa"/>
            <w:vMerge w:val="restart"/>
            <w:vAlign w:val="center"/>
          </w:tcPr>
          <w:p>
            <w:pPr>
              <w:pStyle w:val="43"/>
              <w:spacing w:before="1" w:line="288" w:lineRule="auto"/>
              <w:ind w:right="149"/>
              <w:jc w:val="center"/>
              <w:rPr>
                <w:rFonts w:ascii="宋体" w:hAnsi="宋体" w:eastAsia="宋体" w:cs="宋体"/>
                <w:sz w:val="24"/>
                <w:szCs w:val="24"/>
              </w:rPr>
            </w:pPr>
            <w:r>
              <w:rPr>
                <w:rFonts w:hint="eastAsia" w:ascii="宋体" w:hAnsi="宋体" w:eastAsia="宋体" w:cs="宋体"/>
                <w:sz w:val="24"/>
                <w:szCs w:val="24"/>
              </w:rPr>
              <w:t>奉贤校区线上</w:t>
            </w:r>
          </w:p>
        </w:tc>
        <w:tc>
          <w:tcPr>
            <w:tcW w:w="2010" w:type="dxa"/>
            <w:vAlign w:val="center"/>
          </w:tcPr>
          <w:p>
            <w:pPr>
              <w:pStyle w:val="43"/>
              <w:spacing w:line="285" w:lineRule="auto"/>
              <w:ind w:right="97"/>
              <w:jc w:val="center"/>
              <w:rPr>
                <w:rFonts w:ascii="宋体" w:hAnsi="宋体" w:eastAsia="宋体" w:cs="宋体"/>
                <w:sz w:val="24"/>
                <w:szCs w:val="24"/>
              </w:rPr>
            </w:pPr>
            <w:r>
              <w:rPr>
                <w:rFonts w:hint="eastAsia" w:ascii="宋体" w:hAnsi="宋体" w:eastAsia="宋体" w:cs="宋体"/>
                <w:sz w:val="24"/>
                <w:szCs w:val="24"/>
              </w:rPr>
              <w:t>课程思政教育思想</w:t>
            </w:r>
            <w:r>
              <w:rPr>
                <w:rFonts w:hint="eastAsia" w:ascii="宋体" w:hAnsi="宋体" w:eastAsia="宋体" w:cs="宋体"/>
                <w:spacing w:val="-14"/>
                <w:sz w:val="24"/>
                <w:szCs w:val="24"/>
              </w:rPr>
              <w:t>的由来、实践与思考</w:t>
            </w:r>
          </w:p>
        </w:tc>
        <w:tc>
          <w:tcPr>
            <w:tcW w:w="1125" w:type="dxa"/>
            <w:vAlign w:val="center"/>
          </w:tcPr>
          <w:p>
            <w:pPr>
              <w:pStyle w:val="43"/>
              <w:ind w:right="8"/>
              <w:jc w:val="center"/>
              <w:rPr>
                <w:rFonts w:ascii="宋体" w:hAnsi="宋体" w:eastAsia="宋体" w:cs="宋体"/>
                <w:sz w:val="24"/>
                <w:szCs w:val="24"/>
              </w:rPr>
            </w:pPr>
            <w:r>
              <w:rPr>
                <w:rFonts w:hint="eastAsia" w:ascii="宋体" w:hAnsi="宋体" w:eastAsia="宋体" w:cs="宋体"/>
                <w:sz w:val="24"/>
                <w:szCs w:val="24"/>
              </w:rPr>
              <w:t>陈华栋</w:t>
            </w:r>
          </w:p>
        </w:tc>
        <w:tc>
          <w:tcPr>
            <w:tcW w:w="1725" w:type="dxa"/>
            <w:vAlign w:val="center"/>
          </w:tcPr>
          <w:p>
            <w:pPr>
              <w:pStyle w:val="43"/>
              <w:spacing w:before="45"/>
              <w:jc w:val="center"/>
              <w:rPr>
                <w:rFonts w:ascii="宋体" w:hAnsi="宋体" w:eastAsia="宋体" w:cs="宋体"/>
                <w:sz w:val="24"/>
                <w:szCs w:val="24"/>
              </w:rPr>
            </w:pPr>
            <w:r>
              <w:rPr>
                <w:rFonts w:hint="eastAsia" w:ascii="宋体" w:hAnsi="宋体" w:eastAsia="宋体" w:cs="宋体"/>
                <w:sz w:val="24"/>
                <w:szCs w:val="24"/>
              </w:rPr>
              <w:t>上海交通大学教授，宣传部副部长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7" w:hRule="atLeast"/>
        </w:trPr>
        <w:tc>
          <w:tcPr>
            <w:tcW w:w="722" w:type="dxa"/>
            <w:vMerge w:val="continue"/>
            <w:tcBorders>
              <w:top w:val="nil"/>
            </w:tcBorders>
            <w:vAlign w:val="center"/>
          </w:tcPr>
          <w:p>
            <w:pPr>
              <w:jc w:val="center"/>
              <w:rPr>
                <w:rFonts w:ascii="宋体" w:hAnsi="宋体" w:eastAsia="宋体" w:cs="宋体"/>
                <w:sz w:val="24"/>
                <w:szCs w:val="24"/>
              </w:rPr>
            </w:pPr>
          </w:p>
        </w:tc>
        <w:tc>
          <w:tcPr>
            <w:tcW w:w="1095" w:type="dxa"/>
            <w:vMerge w:val="continue"/>
            <w:tcBorders>
              <w:top w:val="nil"/>
            </w:tcBorders>
            <w:vAlign w:val="center"/>
          </w:tcPr>
          <w:p>
            <w:pPr>
              <w:jc w:val="center"/>
              <w:rPr>
                <w:rFonts w:ascii="宋体" w:hAnsi="宋体" w:eastAsia="宋体" w:cs="宋体"/>
                <w:sz w:val="24"/>
                <w:szCs w:val="24"/>
              </w:rPr>
            </w:pPr>
          </w:p>
        </w:tc>
        <w:tc>
          <w:tcPr>
            <w:tcW w:w="1125" w:type="dxa"/>
            <w:vMerge w:val="continue"/>
            <w:tcBorders>
              <w:top w:val="nil"/>
            </w:tcBorders>
            <w:vAlign w:val="center"/>
          </w:tcPr>
          <w:p>
            <w:pPr>
              <w:jc w:val="center"/>
              <w:rPr>
                <w:rFonts w:ascii="宋体" w:hAnsi="宋体" w:eastAsia="宋体" w:cs="宋体"/>
                <w:sz w:val="24"/>
                <w:szCs w:val="24"/>
              </w:rPr>
            </w:pPr>
          </w:p>
        </w:tc>
        <w:tc>
          <w:tcPr>
            <w:tcW w:w="1155" w:type="dxa"/>
            <w:vMerge w:val="continue"/>
            <w:tcBorders>
              <w:top w:val="nil"/>
            </w:tcBorders>
            <w:vAlign w:val="center"/>
          </w:tcPr>
          <w:p>
            <w:pPr>
              <w:jc w:val="center"/>
              <w:rPr>
                <w:rFonts w:ascii="宋体" w:hAnsi="宋体" w:eastAsia="宋体" w:cs="宋体"/>
                <w:sz w:val="24"/>
                <w:szCs w:val="24"/>
              </w:rPr>
            </w:pPr>
          </w:p>
        </w:tc>
        <w:tc>
          <w:tcPr>
            <w:tcW w:w="2010" w:type="dxa"/>
            <w:vAlign w:val="center"/>
          </w:tcPr>
          <w:p>
            <w:pPr>
              <w:pStyle w:val="43"/>
              <w:spacing w:before="45"/>
              <w:jc w:val="center"/>
              <w:rPr>
                <w:rFonts w:ascii="宋体" w:hAnsi="宋体" w:eastAsia="宋体" w:cs="宋体"/>
                <w:sz w:val="24"/>
                <w:szCs w:val="24"/>
              </w:rPr>
            </w:pPr>
            <w:r>
              <w:rPr>
                <w:rFonts w:hint="eastAsia" w:ascii="宋体" w:hAnsi="宋体" w:eastAsia="宋体" w:cs="宋体"/>
                <w:sz w:val="24"/>
                <w:szCs w:val="24"/>
              </w:rPr>
              <w:t>理工科课程的课程思政教学原则与策略（暂定）</w:t>
            </w:r>
          </w:p>
        </w:tc>
        <w:tc>
          <w:tcPr>
            <w:tcW w:w="1125" w:type="dxa"/>
            <w:vAlign w:val="center"/>
          </w:tcPr>
          <w:p>
            <w:pPr>
              <w:pStyle w:val="43"/>
              <w:spacing w:before="1"/>
              <w:ind w:right="8"/>
              <w:jc w:val="center"/>
              <w:rPr>
                <w:rFonts w:ascii="宋体" w:hAnsi="宋体" w:eastAsia="宋体" w:cs="宋体"/>
                <w:sz w:val="24"/>
                <w:szCs w:val="24"/>
              </w:rPr>
            </w:pPr>
            <w:r>
              <w:rPr>
                <w:rFonts w:hint="eastAsia" w:ascii="宋体" w:hAnsi="宋体" w:eastAsia="宋体" w:cs="宋体"/>
                <w:sz w:val="24"/>
                <w:szCs w:val="24"/>
              </w:rPr>
              <w:t>待定</w:t>
            </w:r>
          </w:p>
        </w:tc>
        <w:tc>
          <w:tcPr>
            <w:tcW w:w="1725" w:type="dxa"/>
            <w:vAlign w:val="center"/>
          </w:tcPr>
          <w:p>
            <w:pPr>
              <w:pStyle w:val="43"/>
              <w:spacing w:before="1"/>
              <w:ind w:right="147"/>
              <w:jc w:val="center"/>
              <w:rPr>
                <w:rFonts w:ascii="宋体" w:hAnsi="宋体" w:eastAsia="宋体" w:cs="宋体"/>
                <w:sz w:val="24"/>
                <w:szCs w:val="24"/>
              </w:rPr>
            </w:pPr>
            <w:r>
              <w:rPr>
                <w:rFonts w:hint="eastAsia" w:ascii="宋体" w:hAnsi="宋体" w:eastAsia="宋体" w:cs="宋体"/>
                <w:sz w:val="24"/>
                <w:szCs w:val="24"/>
              </w:rPr>
              <w:t>校外专家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8" w:hRule="atLeast"/>
        </w:trPr>
        <w:tc>
          <w:tcPr>
            <w:tcW w:w="722" w:type="dxa"/>
            <w:vMerge w:val="continue"/>
            <w:tcBorders>
              <w:top w:val="nil"/>
            </w:tcBorders>
            <w:vAlign w:val="center"/>
          </w:tcPr>
          <w:p>
            <w:pPr>
              <w:jc w:val="center"/>
              <w:rPr>
                <w:rFonts w:ascii="宋体" w:hAnsi="宋体" w:eastAsia="宋体" w:cs="宋体"/>
                <w:sz w:val="24"/>
                <w:szCs w:val="24"/>
              </w:rPr>
            </w:pPr>
          </w:p>
        </w:tc>
        <w:tc>
          <w:tcPr>
            <w:tcW w:w="1095" w:type="dxa"/>
            <w:vMerge w:val="continue"/>
            <w:tcBorders>
              <w:top w:val="nil"/>
            </w:tcBorders>
            <w:vAlign w:val="center"/>
          </w:tcPr>
          <w:p>
            <w:pPr>
              <w:jc w:val="center"/>
              <w:rPr>
                <w:rFonts w:ascii="宋体" w:hAnsi="宋体" w:eastAsia="宋体" w:cs="宋体"/>
                <w:sz w:val="24"/>
                <w:szCs w:val="24"/>
              </w:rPr>
            </w:pPr>
          </w:p>
        </w:tc>
        <w:tc>
          <w:tcPr>
            <w:tcW w:w="1125" w:type="dxa"/>
            <w:vMerge w:val="continue"/>
            <w:tcBorders>
              <w:top w:val="nil"/>
            </w:tcBorders>
            <w:vAlign w:val="center"/>
          </w:tcPr>
          <w:p>
            <w:pPr>
              <w:jc w:val="center"/>
              <w:rPr>
                <w:rFonts w:ascii="宋体" w:hAnsi="宋体" w:eastAsia="宋体" w:cs="宋体"/>
                <w:sz w:val="24"/>
                <w:szCs w:val="24"/>
              </w:rPr>
            </w:pPr>
          </w:p>
        </w:tc>
        <w:tc>
          <w:tcPr>
            <w:tcW w:w="1155" w:type="dxa"/>
            <w:vMerge w:val="continue"/>
            <w:tcBorders>
              <w:top w:val="nil"/>
            </w:tcBorders>
            <w:vAlign w:val="center"/>
          </w:tcPr>
          <w:p>
            <w:pPr>
              <w:jc w:val="center"/>
              <w:rPr>
                <w:rFonts w:ascii="宋体" w:hAnsi="宋体" w:eastAsia="宋体" w:cs="宋体"/>
                <w:sz w:val="24"/>
                <w:szCs w:val="24"/>
              </w:rPr>
            </w:pPr>
          </w:p>
        </w:tc>
        <w:tc>
          <w:tcPr>
            <w:tcW w:w="2010" w:type="dxa"/>
            <w:vAlign w:val="center"/>
          </w:tcPr>
          <w:p>
            <w:pPr>
              <w:pStyle w:val="43"/>
              <w:spacing w:before="47"/>
              <w:ind w:right="84"/>
              <w:jc w:val="center"/>
              <w:rPr>
                <w:rFonts w:ascii="宋体" w:hAnsi="宋体" w:eastAsia="宋体" w:cs="宋体"/>
                <w:sz w:val="24"/>
                <w:szCs w:val="24"/>
              </w:rPr>
            </w:pPr>
            <w:r>
              <w:rPr>
                <w:rFonts w:hint="eastAsia" w:ascii="宋体" w:hAnsi="宋体" w:eastAsia="宋体" w:cs="宋体"/>
                <w:sz w:val="24"/>
                <w:szCs w:val="24"/>
              </w:rPr>
              <w:t>课程思政教学设计（暂定）</w:t>
            </w:r>
          </w:p>
        </w:tc>
        <w:tc>
          <w:tcPr>
            <w:tcW w:w="1125" w:type="dxa"/>
            <w:vAlign w:val="center"/>
          </w:tcPr>
          <w:p>
            <w:pPr>
              <w:pStyle w:val="43"/>
              <w:ind w:right="8"/>
              <w:jc w:val="center"/>
              <w:rPr>
                <w:rFonts w:ascii="宋体" w:hAnsi="宋体" w:eastAsia="宋体" w:cs="宋体"/>
                <w:sz w:val="24"/>
                <w:szCs w:val="24"/>
              </w:rPr>
            </w:pPr>
            <w:r>
              <w:rPr>
                <w:rFonts w:hint="eastAsia" w:ascii="宋体" w:hAnsi="宋体" w:eastAsia="宋体" w:cs="宋体"/>
                <w:sz w:val="24"/>
                <w:szCs w:val="24"/>
              </w:rPr>
              <w:t>待定</w:t>
            </w:r>
          </w:p>
        </w:tc>
        <w:tc>
          <w:tcPr>
            <w:tcW w:w="1725" w:type="dxa"/>
            <w:vAlign w:val="center"/>
          </w:tcPr>
          <w:p>
            <w:pPr>
              <w:pStyle w:val="43"/>
              <w:ind w:right="147"/>
              <w:jc w:val="center"/>
              <w:rPr>
                <w:rFonts w:ascii="宋体" w:hAnsi="宋体" w:eastAsia="宋体" w:cs="宋体"/>
                <w:sz w:val="24"/>
                <w:szCs w:val="24"/>
              </w:rPr>
            </w:pPr>
            <w:r>
              <w:rPr>
                <w:rFonts w:hint="eastAsia" w:ascii="宋体" w:hAnsi="宋体" w:eastAsia="宋体" w:cs="宋体"/>
                <w:sz w:val="24"/>
                <w:szCs w:val="24"/>
              </w:rPr>
              <w:t>校外专家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722" w:type="dxa"/>
            <w:vMerge w:val="restart"/>
            <w:vAlign w:val="center"/>
          </w:tcPr>
          <w:p>
            <w:pPr>
              <w:pStyle w:val="43"/>
              <w:jc w:val="center"/>
              <w:rPr>
                <w:rFonts w:ascii="宋体" w:hAnsi="宋体" w:eastAsia="宋体" w:cs="宋体"/>
                <w:sz w:val="24"/>
                <w:szCs w:val="24"/>
              </w:rPr>
            </w:pPr>
            <w:r>
              <w:rPr>
                <w:rFonts w:hint="eastAsia" w:ascii="宋体" w:hAnsi="宋体" w:eastAsia="宋体" w:cs="宋体"/>
                <w:w w:val="99"/>
                <w:sz w:val="24"/>
                <w:szCs w:val="24"/>
              </w:rPr>
              <w:t>4</w:t>
            </w:r>
          </w:p>
        </w:tc>
        <w:tc>
          <w:tcPr>
            <w:tcW w:w="1095" w:type="dxa"/>
            <w:vMerge w:val="restart"/>
            <w:vAlign w:val="center"/>
          </w:tcPr>
          <w:p>
            <w:pPr>
              <w:pStyle w:val="43"/>
              <w:jc w:val="center"/>
              <w:rPr>
                <w:rFonts w:ascii="宋体" w:hAnsi="宋体" w:eastAsia="宋体" w:cs="宋体"/>
                <w:sz w:val="24"/>
                <w:szCs w:val="24"/>
              </w:rPr>
            </w:pPr>
            <w:r>
              <w:rPr>
                <w:rFonts w:hint="eastAsia" w:ascii="宋体" w:hAnsi="宋体" w:eastAsia="宋体" w:cs="宋体"/>
                <w:sz w:val="24"/>
                <w:szCs w:val="24"/>
              </w:rPr>
              <w:t>学院研学</w:t>
            </w:r>
          </w:p>
        </w:tc>
        <w:tc>
          <w:tcPr>
            <w:tcW w:w="1125" w:type="dxa"/>
            <w:vMerge w:val="restart"/>
            <w:vAlign w:val="center"/>
          </w:tcPr>
          <w:p>
            <w:pPr>
              <w:pStyle w:val="43"/>
              <w:ind w:right="8"/>
              <w:jc w:val="center"/>
              <w:rPr>
                <w:rFonts w:ascii="宋体" w:hAnsi="宋体" w:eastAsia="宋体" w:cs="宋体"/>
                <w:sz w:val="24"/>
                <w:szCs w:val="24"/>
              </w:rPr>
            </w:pPr>
            <w:r>
              <w:rPr>
                <w:rFonts w:hint="eastAsia" w:ascii="宋体" w:hAnsi="宋体" w:eastAsia="宋体" w:cs="宋体"/>
                <w:sz w:val="24"/>
                <w:szCs w:val="24"/>
              </w:rPr>
              <w:t>7 月下旬</w:t>
            </w:r>
          </w:p>
          <w:p>
            <w:pPr>
              <w:pStyle w:val="43"/>
              <w:spacing w:before="51"/>
              <w:ind w:right="8"/>
              <w:jc w:val="center"/>
              <w:rPr>
                <w:rFonts w:ascii="宋体" w:hAnsi="宋体" w:eastAsia="宋体" w:cs="宋体"/>
                <w:sz w:val="24"/>
                <w:szCs w:val="24"/>
              </w:rPr>
            </w:pPr>
            <w:r>
              <w:rPr>
                <w:rFonts w:hint="eastAsia" w:ascii="宋体" w:hAnsi="宋体" w:eastAsia="宋体" w:cs="宋体"/>
                <w:sz w:val="24"/>
                <w:szCs w:val="24"/>
              </w:rPr>
              <w:t>-10 月中旬</w:t>
            </w:r>
          </w:p>
        </w:tc>
        <w:tc>
          <w:tcPr>
            <w:tcW w:w="1155" w:type="dxa"/>
            <w:vMerge w:val="restart"/>
            <w:vAlign w:val="center"/>
          </w:tcPr>
          <w:p>
            <w:pPr>
              <w:pStyle w:val="43"/>
              <w:spacing w:line="285" w:lineRule="auto"/>
              <w:ind w:right="149"/>
              <w:jc w:val="center"/>
              <w:rPr>
                <w:rFonts w:ascii="宋体" w:hAnsi="宋体" w:eastAsia="宋体" w:cs="宋体"/>
                <w:sz w:val="24"/>
                <w:szCs w:val="24"/>
              </w:rPr>
            </w:pPr>
            <w:r>
              <w:rPr>
                <w:rFonts w:hint="eastAsia" w:ascii="宋体" w:hAnsi="宋体" w:eastAsia="宋体" w:cs="宋体"/>
                <w:sz w:val="24"/>
                <w:szCs w:val="24"/>
              </w:rPr>
              <w:t>奉贤校区徐汇校区线上</w:t>
            </w:r>
          </w:p>
        </w:tc>
        <w:tc>
          <w:tcPr>
            <w:tcW w:w="2010" w:type="dxa"/>
            <w:vAlign w:val="center"/>
          </w:tcPr>
          <w:p>
            <w:pPr>
              <w:pStyle w:val="43"/>
              <w:spacing w:before="45" w:line="255" w:lineRule="exact"/>
              <w:ind w:right="155"/>
              <w:jc w:val="center"/>
              <w:rPr>
                <w:rFonts w:ascii="宋体" w:hAnsi="宋体" w:eastAsia="宋体" w:cs="宋体"/>
                <w:sz w:val="24"/>
                <w:szCs w:val="24"/>
              </w:rPr>
            </w:pPr>
            <w:r>
              <w:rPr>
                <w:rFonts w:hint="eastAsia" w:ascii="宋体" w:hAnsi="宋体" w:eastAsia="宋体" w:cs="宋体"/>
                <w:sz w:val="24"/>
                <w:szCs w:val="24"/>
              </w:rPr>
              <w:t>同行经验交流</w:t>
            </w:r>
          </w:p>
        </w:tc>
        <w:tc>
          <w:tcPr>
            <w:tcW w:w="1125" w:type="dxa"/>
            <w:vAlign w:val="center"/>
          </w:tcPr>
          <w:p>
            <w:pPr>
              <w:pStyle w:val="43"/>
              <w:spacing w:before="45" w:line="255" w:lineRule="exact"/>
              <w:ind w:right="8"/>
              <w:jc w:val="center"/>
              <w:rPr>
                <w:rFonts w:ascii="宋体" w:hAnsi="宋体" w:eastAsia="宋体" w:cs="宋体"/>
                <w:sz w:val="24"/>
                <w:szCs w:val="24"/>
              </w:rPr>
            </w:pPr>
            <w:r>
              <w:rPr>
                <w:rFonts w:hint="eastAsia" w:ascii="宋体" w:hAnsi="宋体" w:eastAsia="宋体" w:cs="宋体"/>
                <w:sz w:val="24"/>
                <w:szCs w:val="24"/>
              </w:rPr>
              <w:t>专业同行</w:t>
            </w:r>
          </w:p>
        </w:tc>
        <w:tc>
          <w:tcPr>
            <w:tcW w:w="1725" w:type="dxa"/>
            <w:vAlign w:val="center"/>
          </w:tcPr>
          <w:p>
            <w:pPr>
              <w:pStyle w:val="43"/>
              <w:spacing w:before="45" w:line="255" w:lineRule="exact"/>
              <w:jc w:val="center"/>
              <w:rPr>
                <w:rFonts w:ascii="宋体" w:hAnsi="宋体" w:eastAsia="宋体" w:cs="宋体"/>
                <w:sz w:val="24"/>
                <w:szCs w:val="24"/>
              </w:rPr>
            </w:pPr>
            <w:r>
              <w:rPr>
                <w:rFonts w:hint="eastAsia" w:ascii="宋体" w:hAnsi="宋体" w:eastAsia="宋体" w:cs="宋体"/>
                <w:w w:val="99"/>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722" w:type="dxa"/>
            <w:vMerge w:val="continue"/>
            <w:tcBorders>
              <w:top w:val="nil"/>
            </w:tcBorders>
            <w:vAlign w:val="center"/>
          </w:tcPr>
          <w:p>
            <w:pPr>
              <w:jc w:val="center"/>
              <w:rPr>
                <w:rFonts w:ascii="宋体" w:hAnsi="宋体" w:eastAsia="宋体" w:cs="宋体"/>
                <w:sz w:val="24"/>
                <w:szCs w:val="24"/>
              </w:rPr>
            </w:pPr>
          </w:p>
        </w:tc>
        <w:tc>
          <w:tcPr>
            <w:tcW w:w="1095" w:type="dxa"/>
            <w:vMerge w:val="continue"/>
            <w:tcBorders>
              <w:top w:val="nil"/>
            </w:tcBorders>
            <w:vAlign w:val="center"/>
          </w:tcPr>
          <w:p>
            <w:pPr>
              <w:jc w:val="center"/>
              <w:rPr>
                <w:rFonts w:ascii="宋体" w:hAnsi="宋体" w:eastAsia="宋体" w:cs="宋体"/>
                <w:sz w:val="24"/>
                <w:szCs w:val="24"/>
              </w:rPr>
            </w:pPr>
          </w:p>
        </w:tc>
        <w:tc>
          <w:tcPr>
            <w:tcW w:w="1125" w:type="dxa"/>
            <w:vMerge w:val="continue"/>
            <w:tcBorders>
              <w:top w:val="nil"/>
            </w:tcBorders>
            <w:vAlign w:val="center"/>
          </w:tcPr>
          <w:p>
            <w:pPr>
              <w:jc w:val="center"/>
              <w:rPr>
                <w:rFonts w:ascii="宋体" w:hAnsi="宋体" w:eastAsia="宋体" w:cs="宋体"/>
                <w:sz w:val="24"/>
                <w:szCs w:val="24"/>
              </w:rPr>
            </w:pPr>
          </w:p>
        </w:tc>
        <w:tc>
          <w:tcPr>
            <w:tcW w:w="1155" w:type="dxa"/>
            <w:vMerge w:val="continue"/>
            <w:tcBorders>
              <w:top w:val="nil"/>
            </w:tcBorders>
            <w:vAlign w:val="center"/>
          </w:tcPr>
          <w:p>
            <w:pPr>
              <w:jc w:val="center"/>
              <w:rPr>
                <w:rFonts w:ascii="宋体" w:hAnsi="宋体" w:eastAsia="宋体" w:cs="宋体"/>
                <w:sz w:val="24"/>
                <w:szCs w:val="24"/>
              </w:rPr>
            </w:pPr>
          </w:p>
        </w:tc>
        <w:tc>
          <w:tcPr>
            <w:tcW w:w="2010" w:type="dxa"/>
            <w:vAlign w:val="center"/>
          </w:tcPr>
          <w:p>
            <w:pPr>
              <w:pStyle w:val="43"/>
              <w:ind w:right="155"/>
              <w:jc w:val="center"/>
              <w:rPr>
                <w:rFonts w:ascii="宋体" w:hAnsi="宋体" w:eastAsia="宋体" w:cs="宋体"/>
                <w:sz w:val="24"/>
                <w:szCs w:val="24"/>
              </w:rPr>
            </w:pPr>
            <w:r>
              <w:rPr>
                <w:rFonts w:hint="eastAsia" w:ascii="宋体" w:hAnsi="宋体" w:eastAsia="宋体" w:cs="宋体"/>
                <w:sz w:val="24"/>
                <w:szCs w:val="24"/>
              </w:rPr>
              <w:t>主题研讨</w:t>
            </w:r>
          </w:p>
        </w:tc>
        <w:tc>
          <w:tcPr>
            <w:tcW w:w="1125" w:type="dxa"/>
            <w:vAlign w:val="center"/>
          </w:tcPr>
          <w:p>
            <w:pPr>
              <w:pStyle w:val="43"/>
              <w:spacing w:line="320" w:lineRule="exact"/>
              <w:ind w:right="133"/>
              <w:jc w:val="center"/>
              <w:rPr>
                <w:rFonts w:ascii="宋体" w:hAnsi="宋体" w:eastAsia="宋体" w:cs="宋体"/>
                <w:sz w:val="24"/>
                <w:szCs w:val="24"/>
              </w:rPr>
            </w:pPr>
            <w:r>
              <w:rPr>
                <w:rFonts w:hint="eastAsia" w:ascii="宋体" w:hAnsi="宋体" w:eastAsia="宋体" w:cs="宋体"/>
                <w:sz w:val="24"/>
                <w:szCs w:val="24"/>
              </w:rPr>
              <w:t>课程负责人</w:t>
            </w:r>
          </w:p>
        </w:tc>
        <w:tc>
          <w:tcPr>
            <w:tcW w:w="1725" w:type="dxa"/>
            <w:vAlign w:val="center"/>
          </w:tcPr>
          <w:p>
            <w:pPr>
              <w:pStyle w:val="43"/>
              <w:ind w:right="147"/>
              <w:jc w:val="center"/>
              <w:rPr>
                <w:rFonts w:ascii="宋体" w:hAnsi="宋体" w:eastAsia="宋体" w:cs="宋体"/>
                <w:sz w:val="24"/>
                <w:szCs w:val="24"/>
              </w:rPr>
            </w:pPr>
            <w:r>
              <w:rPr>
                <w:rFonts w:hint="eastAsia" w:ascii="宋体" w:hAnsi="宋体" w:eastAsia="宋体" w:cs="宋体"/>
                <w:sz w:val="24"/>
                <w:szCs w:val="24"/>
              </w:rPr>
              <w:t>校内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722" w:type="dxa"/>
            <w:vMerge w:val="continue"/>
            <w:tcBorders>
              <w:top w:val="nil"/>
            </w:tcBorders>
            <w:vAlign w:val="center"/>
          </w:tcPr>
          <w:p>
            <w:pPr>
              <w:jc w:val="center"/>
              <w:rPr>
                <w:rFonts w:ascii="宋体" w:hAnsi="宋体" w:eastAsia="宋体" w:cs="宋体"/>
                <w:sz w:val="24"/>
                <w:szCs w:val="24"/>
              </w:rPr>
            </w:pPr>
          </w:p>
        </w:tc>
        <w:tc>
          <w:tcPr>
            <w:tcW w:w="1095" w:type="dxa"/>
            <w:vMerge w:val="continue"/>
            <w:tcBorders>
              <w:top w:val="nil"/>
            </w:tcBorders>
            <w:vAlign w:val="center"/>
          </w:tcPr>
          <w:p>
            <w:pPr>
              <w:jc w:val="center"/>
              <w:rPr>
                <w:rFonts w:ascii="宋体" w:hAnsi="宋体" w:eastAsia="宋体" w:cs="宋体"/>
                <w:sz w:val="24"/>
                <w:szCs w:val="24"/>
              </w:rPr>
            </w:pPr>
          </w:p>
        </w:tc>
        <w:tc>
          <w:tcPr>
            <w:tcW w:w="1125" w:type="dxa"/>
            <w:vMerge w:val="continue"/>
            <w:tcBorders>
              <w:top w:val="nil"/>
            </w:tcBorders>
            <w:vAlign w:val="center"/>
          </w:tcPr>
          <w:p>
            <w:pPr>
              <w:jc w:val="center"/>
              <w:rPr>
                <w:rFonts w:ascii="宋体" w:hAnsi="宋体" w:eastAsia="宋体" w:cs="宋体"/>
                <w:sz w:val="24"/>
                <w:szCs w:val="24"/>
              </w:rPr>
            </w:pPr>
          </w:p>
        </w:tc>
        <w:tc>
          <w:tcPr>
            <w:tcW w:w="1155" w:type="dxa"/>
            <w:vMerge w:val="continue"/>
            <w:tcBorders>
              <w:top w:val="nil"/>
            </w:tcBorders>
            <w:vAlign w:val="center"/>
          </w:tcPr>
          <w:p>
            <w:pPr>
              <w:jc w:val="center"/>
              <w:rPr>
                <w:rFonts w:ascii="宋体" w:hAnsi="宋体" w:eastAsia="宋体" w:cs="宋体"/>
                <w:sz w:val="24"/>
                <w:szCs w:val="24"/>
              </w:rPr>
            </w:pPr>
          </w:p>
        </w:tc>
        <w:tc>
          <w:tcPr>
            <w:tcW w:w="2010" w:type="dxa"/>
            <w:vAlign w:val="center"/>
          </w:tcPr>
          <w:p>
            <w:pPr>
              <w:pStyle w:val="43"/>
              <w:ind w:right="84"/>
              <w:jc w:val="center"/>
              <w:rPr>
                <w:rFonts w:ascii="宋体" w:hAnsi="宋体" w:eastAsia="宋体" w:cs="宋体"/>
                <w:sz w:val="24"/>
                <w:szCs w:val="24"/>
              </w:rPr>
            </w:pPr>
            <w:r>
              <w:rPr>
                <w:rFonts w:hint="eastAsia" w:ascii="宋体" w:hAnsi="宋体" w:eastAsia="宋体" w:cs="宋体"/>
                <w:sz w:val="24"/>
                <w:szCs w:val="24"/>
              </w:rPr>
              <w:t>课程思政教学设计</w:t>
            </w:r>
          </w:p>
        </w:tc>
        <w:tc>
          <w:tcPr>
            <w:tcW w:w="1125" w:type="dxa"/>
            <w:vAlign w:val="center"/>
          </w:tcPr>
          <w:p>
            <w:pPr>
              <w:pStyle w:val="43"/>
              <w:spacing w:line="320" w:lineRule="exact"/>
              <w:ind w:right="133"/>
              <w:jc w:val="center"/>
              <w:rPr>
                <w:rFonts w:ascii="宋体" w:hAnsi="宋体" w:eastAsia="宋体" w:cs="宋体"/>
                <w:sz w:val="24"/>
                <w:szCs w:val="24"/>
              </w:rPr>
            </w:pPr>
            <w:r>
              <w:rPr>
                <w:rFonts w:hint="eastAsia" w:ascii="宋体" w:hAnsi="宋体" w:eastAsia="宋体" w:cs="宋体"/>
                <w:sz w:val="24"/>
                <w:szCs w:val="24"/>
              </w:rPr>
              <w:t>课程负责人</w:t>
            </w:r>
          </w:p>
        </w:tc>
        <w:tc>
          <w:tcPr>
            <w:tcW w:w="1725" w:type="dxa"/>
            <w:vAlign w:val="center"/>
          </w:tcPr>
          <w:p>
            <w:pPr>
              <w:pStyle w:val="43"/>
              <w:ind w:right="147"/>
              <w:jc w:val="center"/>
              <w:rPr>
                <w:rFonts w:ascii="宋体" w:hAnsi="宋体" w:eastAsia="宋体" w:cs="宋体"/>
                <w:sz w:val="24"/>
                <w:szCs w:val="24"/>
              </w:rPr>
            </w:pPr>
            <w:r>
              <w:rPr>
                <w:rFonts w:hint="eastAsia" w:ascii="宋体" w:hAnsi="宋体" w:eastAsia="宋体" w:cs="宋体"/>
                <w:sz w:val="24"/>
                <w:szCs w:val="24"/>
              </w:rPr>
              <w:t>校内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722" w:type="dxa"/>
            <w:vAlign w:val="center"/>
          </w:tcPr>
          <w:p>
            <w:pPr>
              <w:pStyle w:val="43"/>
              <w:jc w:val="center"/>
              <w:rPr>
                <w:rFonts w:ascii="宋体" w:hAnsi="宋体" w:eastAsia="宋体" w:cs="宋体"/>
                <w:sz w:val="24"/>
                <w:szCs w:val="24"/>
              </w:rPr>
            </w:pPr>
            <w:r>
              <w:rPr>
                <w:rFonts w:hint="eastAsia" w:ascii="宋体" w:hAnsi="宋体" w:eastAsia="宋体" w:cs="宋体"/>
                <w:w w:val="99"/>
                <w:sz w:val="24"/>
                <w:szCs w:val="24"/>
              </w:rPr>
              <w:t>5</w:t>
            </w:r>
          </w:p>
        </w:tc>
        <w:tc>
          <w:tcPr>
            <w:tcW w:w="1095" w:type="dxa"/>
            <w:vAlign w:val="center"/>
          </w:tcPr>
          <w:p>
            <w:pPr>
              <w:pStyle w:val="43"/>
              <w:spacing w:line="288" w:lineRule="auto"/>
              <w:ind w:right="118"/>
              <w:jc w:val="center"/>
              <w:rPr>
                <w:rFonts w:ascii="宋体" w:hAnsi="宋体" w:eastAsia="宋体" w:cs="宋体"/>
                <w:sz w:val="24"/>
                <w:szCs w:val="24"/>
              </w:rPr>
            </w:pPr>
            <w:r>
              <w:rPr>
                <w:rFonts w:hint="eastAsia" w:ascii="宋体" w:hAnsi="宋体" w:eastAsia="宋体" w:cs="宋体"/>
                <w:sz w:val="24"/>
                <w:szCs w:val="24"/>
              </w:rPr>
              <w:t>集体交流与闭幕</w:t>
            </w:r>
          </w:p>
        </w:tc>
        <w:tc>
          <w:tcPr>
            <w:tcW w:w="1125" w:type="dxa"/>
            <w:vAlign w:val="center"/>
          </w:tcPr>
          <w:p>
            <w:pPr>
              <w:pStyle w:val="43"/>
              <w:ind w:right="8"/>
              <w:jc w:val="center"/>
              <w:rPr>
                <w:rFonts w:ascii="宋体" w:hAnsi="宋体" w:eastAsia="宋体" w:cs="宋体"/>
                <w:sz w:val="24"/>
                <w:szCs w:val="24"/>
              </w:rPr>
            </w:pPr>
            <w:r>
              <w:rPr>
                <w:rFonts w:hint="eastAsia" w:ascii="宋体" w:hAnsi="宋体" w:eastAsia="宋体" w:cs="宋体"/>
                <w:sz w:val="24"/>
                <w:szCs w:val="24"/>
              </w:rPr>
              <w:t>10 月下旬</w:t>
            </w:r>
          </w:p>
        </w:tc>
        <w:tc>
          <w:tcPr>
            <w:tcW w:w="1155" w:type="dxa"/>
            <w:vAlign w:val="center"/>
          </w:tcPr>
          <w:p>
            <w:pPr>
              <w:pStyle w:val="43"/>
              <w:ind w:right="41"/>
              <w:jc w:val="center"/>
              <w:rPr>
                <w:rFonts w:ascii="宋体" w:hAnsi="宋体" w:eastAsia="宋体" w:cs="宋体"/>
                <w:sz w:val="24"/>
                <w:szCs w:val="24"/>
              </w:rPr>
            </w:pPr>
            <w:r>
              <w:rPr>
                <w:rFonts w:hint="eastAsia" w:ascii="宋体" w:hAnsi="宋体" w:eastAsia="宋体" w:cs="宋体"/>
                <w:sz w:val="24"/>
                <w:szCs w:val="24"/>
              </w:rPr>
              <w:t>奉贤校区</w:t>
            </w:r>
          </w:p>
        </w:tc>
        <w:tc>
          <w:tcPr>
            <w:tcW w:w="2010" w:type="dxa"/>
            <w:vAlign w:val="center"/>
          </w:tcPr>
          <w:p>
            <w:pPr>
              <w:pStyle w:val="43"/>
              <w:spacing w:line="288" w:lineRule="auto"/>
              <w:ind w:right="97"/>
              <w:jc w:val="center"/>
              <w:rPr>
                <w:rFonts w:ascii="宋体" w:hAnsi="宋体" w:eastAsia="宋体" w:cs="宋体"/>
                <w:sz w:val="24"/>
                <w:szCs w:val="24"/>
              </w:rPr>
            </w:pPr>
            <w:r>
              <w:rPr>
                <w:rFonts w:hint="eastAsia" w:ascii="宋体" w:hAnsi="宋体" w:eastAsia="宋体" w:cs="宋体"/>
                <w:spacing w:val="-13"/>
                <w:sz w:val="24"/>
                <w:szCs w:val="24"/>
              </w:rPr>
              <w:t>理论研究成果、教学</w:t>
            </w:r>
            <w:r>
              <w:rPr>
                <w:rFonts w:hint="eastAsia" w:ascii="宋体" w:hAnsi="宋体" w:eastAsia="宋体" w:cs="宋体"/>
                <w:spacing w:val="-14"/>
                <w:sz w:val="24"/>
                <w:szCs w:val="24"/>
              </w:rPr>
              <w:t>设计、学习体会交流</w:t>
            </w:r>
          </w:p>
        </w:tc>
        <w:tc>
          <w:tcPr>
            <w:tcW w:w="1125" w:type="dxa"/>
            <w:vAlign w:val="center"/>
          </w:tcPr>
          <w:p>
            <w:pPr>
              <w:pStyle w:val="43"/>
              <w:spacing w:before="1" w:line="320" w:lineRule="exact"/>
              <w:ind w:right="133"/>
              <w:jc w:val="center"/>
              <w:rPr>
                <w:rFonts w:ascii="宋体" w:hAnsi="宋体" w:eastAsia="宋体" w:cs="宋体"/>
                <w:sz w:val="24"/>
                <w:szCs w:val="24"/>
              </w:rPr>
            </w:pPr>
            <w:r>
              <w:rPr>
                <w:rFonts w:hint="eastAsia" w:ascii="宋体" w:hAnsi="宋体" w:eastAsia="宋体" w:cs="宋体"/>
                <w:sz w:val="24"/>
                <w:szCs w:val="24"/>
              </w:rPr>
              <w:t xml:space="preserve">校领导 </w:t>
            </w:r>
            <w:r>
              <w:rPr>
                <w:rFonts w:hint="eastAsia" w:ascii="宋体" w:hAnsi="宋体" w:eastAsia="宋体" w:cs="宋体"/>
                <w:spacing w:val="-4"/>
                <w:sz w:val="24"/>
                <w:szCs w:val="24"/>
              </w:rPr>
              <w:t>全体参训</w:t>
            </w:r>
            <w:r>
              <w:rPr>
                <w:rFonts w:hint="eastAsia" w:ascii="宋体" w:hAnsi="宋体" w:eastAsia="宋体" w:cs="宋体"/>
                <w:sz w:val="24"/>
                <w:szCs w:val="24"/>
              </w:rPr>
              <w:t>人员</w:t>
            </w:r>
          </w:p>
        </w:tc>
        <w:tc>
          <w:tcPr>
            <w:tcW w:w="1725" w:type="dxa"/>
            <w:vAlign w:val="center"/>
          </w:tcPr>
          <w:p>
            <w:pPr>
              <w:pStyle w:val="43"/>
              <w:ind w:right="147"/>
              <w:jc w:val="center"/>
              <w:rPr>
                <w:rFonts w:ascii="宋体" w:hAnsi="宋体" w:eastAsia="宋体" w:cs="宋体"/>
                <w:sz w:val="24"/>
                <w:szCs w:val="24"/>
              </w:rPr>
            </w:pPr>
            <w:r>
              <w:rPr>
                <w:rFonts w:hint="eastAsia" w:ascii="宋体" w:hAnsi="宋体" w:eastAsia="宋体" w:cs="宋体"/>
                <w:sz w:val="24"/>
                <w:szCs w:val="24"/>
              </w:rPr>
              <w:t>校内</w:t>
            </w:r>
          </w:p>
        </w:tc>
      </w:tr>
    </w:tbl>
    <w:p/>
    <w:p>
      <w:pPr>
        <w:spacing w:line="360" w:lineRule="auto"/>
        <w:ind w:firstLine="275" w:firstLineChars="98"/>
        <w:rPr>
          <w:rFonts w:ascii="宋体" w:hAnsi="宋体" w:eastAsia="宋体" w:cs="宋体"/>
          <w:b/>
          <w:sz w:val="28"/>
          <w:szCs w:val="28"/>
        </w:rPr>
      </w:pPr>
      <w:r>
        <w:rPr>
          <w:rFonts w:hint="eastAsia" w:ascii="宋体" w:hAnsi="宋体" w:eastAsia="宋体" w:cs="宋体"/>
          <w:b/>
          <w:sz w:val="28"/>
          <w:szCs w:val="28"/>
        </w:rPr>
        <w:t>（6）学习材料：</w:t>
      </w:r>
    </w:p>
    <w:p>
      <w:pPr>
        <w:pStyle w:val="43"/>
        <w:ind w:right="84"/>
        <w:jc w:val="left"/>
        <w:rPr>
          <w:rFonts w:ascii="宋体" w:hAnsi="宋体" w:eastAsia="宋体" w:cs="宋体"/>
          <w:sz w:val="24"/>
          <w:szCs w:val="24"/>
        </w:rPr>
      </w:pPr>
      <w:r>
        <w:rPr>
          <w:rFonts w:hint="eastAsia" w:ascii="宋体" w:hAnsi="宋体" w:eastAsia="宋体" w:cs="宋体"/>
          <w:sz w:val="24"/>
          <w:szCs w:val="24"/>
        </w:rPr>
        <w:t>①教育部等八部门，《关于加快构建高校思想政治工作体系的意见》，教思政〔2020〕1号文件.</w:t>
      </w:r>
    </w:p>
    <w:p>
      <w:pPr>
        <w:pStyle w:val="43"/>
        <w:ind w:right="84"/>
        <w:jc w:val="left"/>
        <w:rPr>
          <w:rFonts w:ascii="宋体" w:hAnsi="宋体" w:eastAsia="宋体" w:cs="宋体"/>
          <w:sz w:val="24"/>
          <w:szCs w:val="24"/>
        </w:rPr>
      </w:pPr>
      <w:r>
        <w:rPr>
          <w:rFonts w:hint="eastAsia" w:ascii="宋体" w:hAnsi="宋体" w:eastAsia="宋体" w:cs="宋体"/>
          <w:sz w:val="24"/>
          <w:szCs w:val="24"/>
        </w:rPr>
        <w:t>②教育部，《高等学校课程思政建设指导纲要》，教高〔2020〕3号文件.</w:t>
      </w:r>
    </w:p>
    <w:p>
      <w:pPr>
        <w:pStyle w:val="43"/>
        <w:ind w:right="84"/>
        <w:jc w:val="left"/>
        <w:rPr>
          <w:rFonts w:ascii="宋体" w:hAnsi="宋体" w:eastAsia="宋体" w:cs="宋体"/>
          <w:sz w:val="24"/>
          <w:szCs w:val="24"/>
        </w:rPr>
      </w:pPr>
      <w:r>
        <w:rPr>
          <w:rFonts w:hint="eastAsia" w:ascii="宋体" w:hAnsi="宋体" w:eastAsia="宋体" w:cs="宋体"/>
          <w:sz w:val="24"/>
          <w:szCs w:val="24"/>
        </w:rPr>
        <w:t>③上海应用技术大学，《上海应用技术大学课程思政整体改革领航高校2020年工作计划》，上应（2020）12 号文件.</w:t>
      </w:r>
    </w:p>
    <w:p>
      <w:pPr>
        <w:pStyle w:val="43"/>
        <w:ind w:right="84"/>
        <w:jc w:val="left"/>
        <w:rPr>
          <w:rFonts w:ascii="宋体" w:hAnsi="宋体" w:eastAsia="宋体" w:cs="宋体"/>
          <w:sz w:val="24"/>
          <w:szCs w:val="24"/>
        </w:rPr>
      </w:pPr>
      <w:r>
        <w:rPr>
          <w:rFonts w:hint="eastAsia" w:ascii="宋体" w:hAnsi="宋体" w:eastAsia="宋体" w:cs="宋体"/>
          <w:sz w:val="24"/>
          <w:szCs w:val="24"/>
        </w:rPr>
        <w:t>④柯勤飞，融合创新 打造课程思政“金课” ，中国教育报，2019年1月7日.</w:t>
      </w:r>
    </w:p>
    <w:p>
      <w:pPr>
        <w:pStyle w:val="2"/>
        <w:spacing w:before="0" w:after="0" w:line="360" w:lineRule="auto"/>
        <w:ind w:firstLine="446" w:firstLineChars="148"/>
        <w:rPr>
          <w:rFonts w:asciiTheme="minorEastAsia" w:hAnsiTheme="minorEastAsia"/>
          <w:sz w:val="30"/>
          <w:szCs w:val="30"/>
        </w:rPr>
      </w:pPr>
      <w:bookmarkStart w:id="13" w:name="_Toc131671177"/>
      <w:r>
        <w:rPr>
          <w:rFonts w:hint="eastAsia" w:asciiTheme="minorEastAsia" w:hAnsiTheme="minorEastAsia"/>
          <w:sz w:val="30"/>
          <w:szCs w:val="30"/>
        </w:rPr>
        <w:t>（二）课程思政教师沙龙一览表</w:t>
      </w:r>
      <w:bookmarkEnd w:id="13"/>
    </w:p>
    <w:tbl>
      <w:tblPr>
        <w:tblStyle w:val="11"/>
        <w:tblW w:w="8351" w:type="dxa"/>
        <w:jc w:val="center"/>
        <w:tblLayout w:type="fixed"/>
        <w:tblCellMar>
          <w:top w:w="0" w:type="dxa"/>
          <w:left w:w="108" w:type="dxa"/>
          <w:bottom w:w="0" w:type="dxa"/>
          <w:right w:w="108" w:type="dxa"/>
        </w:tblCellMar>
      </w:tblPr>
      <w:tblGrid>
        <w:gridCol w:w="795"/>
        <w:gridCol w:w="1475"/>
        <w:gridCol w:w="3769"/>
        <w:gridCol w:w="2312"/>
      </w:tblGrid>
      <w:tr>
        <w:tblPrEx>
          <w:tblCellMar>
            <w:top w:w="0" w:type="dxa"/>
            <w:left w:w="108" w:type="dxa"/>
            <w:bottom w:w="0" w:type="dxa"/>
            <w:right w:w="108" w:type="dxa"/>
          </w:tblCellMar>
        </w:tblPrEx>
        <w:trPr>
          <w:trHeight w:val="624" w:hRule="exac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kern w:val="0"/>
                <w:sz w:val="24"/>
                <w:szCs w:val="24"/>
                <w:lang w:bidi="ar"/>
              </w:rPr>
            </w:pPr>
            <w:r>
              <w:rPr>
                <w:rFonts w:hint="eastAsia" w:ascii="宋体" w:hAnsi="宋体" w:eastAsia="宋体" w:cs="宋体"/>
                <w:b/>
                <w:bCs/>
                <w:color w:val="000000"/>
                <w:kern w:val="0"/>
                <w:sz w:val="24"/>
                <w:szCs w:val="24"/>
                <w:lang w:bidi="ar"/>
              </w:rPr>
              <w:t>序号</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kern w:val="0"/>
                <w:sz w:val="24"/>
                <w:szCs w:val="24"/>
                <w:lang w:bidi="ar"/>
              </w:rPr>
            </w:pPr>
            <w:r>
              <w:rPr>
                <w:rFonts w:hint="eastAsia" w:ascii="宋体" w:hAnsi="宋体" w:eastAsia="宋体" w:cs="宋体"/>
                <w:b/>
                <w:bCs/>
                <w:color w:val="000000"/>
                <w:kern w:val="0"/>
                <w:sz w:val="24"/>
                <w:szCs w:val="24"/>
                <w:lang w:bidi="ar"/>
              </w:rPr>
              <w:t>主办部门</w:t>
            </w:r>
          </w:p>
        </w:tc>
        <w:tc>
          <w:tcPr>
            <w:tcW w:w="37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kern w:val="0"/>
                <w:sz w:val="24"/>
                <w:szCs w:val="24"/>
                <w:lang w:bidi="ar"/>
              </w:rPr>
            </w:pPr>
            <w:r>
              <w:rPr>
                <w:rFonts w:hint="eastAsia" w:ascii="宋体" w:hAnsi="宋体" w:eastAsia="宋体" w:cs="宋体"/>
                <w:b/>
                <w:bCs/>
                <w:color w:val="000000"/>
                <w:kern w:val="0"/>
                <w:sz w:val="24"/>
                <w:szCs w:val="24"/>
                <w:lang w:bidi="ar"/>
              </w:rPr>
              <w:t>题目</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kern w:val="0"/>
                <w:sz w:val="24"/>
                <w:szCs w:val="24"/>
                <w:lang w:bidi="ar"/>
              </w:rPr>
            </w:pPr>
            <w:r>
              <w:rPr>
                <w:rFonts w:hint="eastAsia" w:ascii="宋体" w:hAnsi="宋体" w:eastAsia="宋体" w:cs="宋体"/>
                <w:b/>
                <w:bCs/>
                <w:color w:val="000000"/>
                <w:kern w:val="0"/>
                <w:sz w:val="24"/>
                <w:szCs w:val="24"/>
                <w:lang w:bidi="ar"/>
              </w:rPr>
              <w:t>时间</w:t>
            </w:r>
          </w:p>
        </w:tc>
      </w:tr>
      <w:tr>
        <w:tblPrEx>
          <w:tblCellMar>
            <w:top w:w="0" w:type="dxa"/>
            <w:left w:w="108" w:type="dxa"/>
            <w:bottom w:w="0" w:type="dxa"/>
            <w:right w:w="108" w:type="dxa"/>
          </w:tblCellMar>
        </w:tblPrEx>
        <w:trPr>
          <w:trHeight w:val="624" w:hRule="exac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1</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轨交学院</w:t>
            </w:r>
          </w:p>
        </w:tc>
        <w:tc>
          <w:tcPr>
            <w:tcW w:w="37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课程思政与立德树人</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2019年4月12日</w:t>
            </w:r>
          </w:p>
        </w:tc>
      </w:tr>
      <w:tr>
        <w:tblPrEx>
          <w:tblCellMar>
            <w:top w:w="0" w:type="dxa"/>
            <w:left w:w="108" w:type="dxa"/>
            <w:bottom w:w="0" w:type="dxa"/>
            <w:right w:w="108" w:type="dxa"/>
          </w:tblCellMar>
        </w:tblPrEx>
        <w:trPr>
          <w:trHeight w:val="624" w:hRule="exac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2</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计算机学院</w:t>
            </w:r>
          </w:p>
        </w:tc>
        <w:tc>
          <w:tcPr>
            <w:tcW w:w="37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软件工程工程认证与课程思政</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2019年5月10日</w:t>
            </w:r>
          </w:p>
        </w:tc>
      </w:tr>
      <w:tr>
        <w:tblPrEx>
          <w:tblCellMar>
            <w:top w:w="0" w:type="dxa"/>
            <w:left w:w="108" w:type="dxa"/>
            <w:bottom w:w="0" w:type="dxa"/>
            <w:right w:w="108" w:type="dxa"/>
          </w:tblCellMar>
        </w:tblPrEx>
        <w:trPr>
          <w:trHeight w:val="624" w:hRule="exac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3</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马院</w:t>
            </w:r>
          </w:p>
        </w:tc>
        <w:tc>
          <w:tcPr>
            <w:tcW w:w="37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课程思政建设与立德育人</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2019年5月31日</w:t>
            </w:r>
          </w:p>
        </w:tc>
      </w:tr>
      <w:tr>
        <w:tblPrEx>
          <w:tblCellMar>
            <w:top w:w="0" w:type="dxa"/>
            <w:left w:w="108" w:type="dxa"/>
            <w:bottom w:w="0" w:type="dxa"/>
            <w:right w:w="108" w:type="dxa"/>
          </w:tblCellMar>
        </w:tblPrEx>
        <w:trPr>
          <w:trHeight w:val="624" w:hRule="exac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4</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材料学院</w:t>
            </w:r>
          </w:p>
        </w:tc>
        <w:tc>
          <w:tcPr>
            <w:tcW w:w="37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“四史”学习+课程思政系列活动</w:t>
            </w:r>
          </w:p>
        </w:tc>
        <w:tc>
          <w:tcPr>
            <w:tcW w:w="2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2020年6月29日</w:t>
            </w:r>
          </w:p>
        </w:tc>
      </w:tr>
      <w:tr>
        <w:tblPrEx>
          <w:tblCellMar>
            <w:top w:w="0" w:type="dxa"/>
            <w:left w:w="108" w:type="dxa"/>
            <w:bottom w:w="0" w:type="dxa"/>
            <w:right w:w="108" w:type="dxa"/>
          </w:tblCellMar>
        </w:tblPrEx>
        <w:trPr>
          <w:trHeight w:val="624" w:hRule="exac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5</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教工部</w:t>
            </w:r>
          </w:p>
        </w:tc>
        <w:tc>
          <w:tcPr>
            <w:tcW w:w="37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课程思政领航计划骨干教师培训报告会</w:t>
            </w:r>
          </w:p>
        </w:tc>
        <w:tc>
          <w:tcPr>
            <w:tcW w:w="2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2020年9月22日</w:t>
            </w:r>
          </w:p>
        </w:tc>
      </w:tr>
      <w:tr>
        <w:tblPrEx>
          <w:tblCellMar>
            <w:top w:w="0" w:type="dxa"/>
            <w:left w:w="108" w:type="dxa"/>
            <w:bottom w:w="0" w:type="dxa"/>
            <w:right w:w="108" w:type="dxa"/>
          </w:tblCellMar>
        </w:tblPrEx>
        <w:trPr>
          <w:trHeight w:val="624" w:hRule="exac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6</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机械学院</w:t>
            </w:r>
          </w:p>
        </w:tc>
        <w:tc>
          <w:tcPr>
            <w:tcW w:w="37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面向智能制造的研究生课程思政建设研讨会</w:t>
            </w:r>
          </w:p>
        </w:tc>
        <w:tc>
          <w:tcPr>
            <w:tcW w:w="2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2020年10月15日</w:t>
            </w:r>
          </w:p>
        </w:tc>
      </w:tr>
      <w:tr>
        <w:tblPrEx>
          <w:tblCellMar>
            <w:top w:w="0" w:type="dxa"/>
            <w:left w:w="108" w:type="dxa"/>
            <w:bottom w:w="0" w:type="dxa"/>
            <w:right w:w="108" w:type="dxa"/>
          </w:tblCellMar>
        </w:tblPrEx>
        <w:trPr>
          <w:trHeight w:val="624" w:hRule="exac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7</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生态学院</w:t>
            </w:r>
          </w:p>
        </w:tc>
        <w:tc>
          <w:tcPr>
            <w:tcW w:w="37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课程思政教学研讨交流活动</w:t>
            </w:r>
          </w:p>
        </w:tc>
        <w:tc>
          <w:tcPr>
            <w:tcW w:w="2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2020年11月13日</w:t>
            </w:r>
          </w:p>
        </w:tc>
      </w:tr>
      <w:tr>
        <w:tblPrEx>
          <w:tblCellMar>
            <w:top w:w="0" w:type="dxa"/>
            <w:left w:w="108" w:type="dxa"/>
            <w:bottom w:w="0" w:type="dxa"/>
            <w:right w:w="108" w:type="dxa"/>
          </w:tblCellMar>
        </w:tblPrEx>
        <w:trPr>
          <w:trHeight w:val="624" w:hRule="exac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8</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经管学院</w:t>
            </w:r>
          </w:p>
        </w:tc>
        <w:tc>
          <w:tcPr>
            <w:tcW w:w="37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文科类课程思政教学案例编写交流研讨会</w:t>
            </w:r>
          </w:p>
        </w:tc>
        <w:tc>
          <w:tcPr>
            <w:tcW w:w="2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2020年11月18日</w:t>
            </w:r>
          </w:p>
        </w:tc>
      </w:tr>
      <w:tr>
        <w:tblPrEx>
          <w:tblCellMar>
            <w:top w:w="0" w:type="dxa"/>
            <w:left w:w="108" w:type="dxa"/>
            <w:bottom w:w="0" w:type="dxa"/>
            <w:right w:w="108" w:type="dxa"/>
          </w:tblCellMar>
        </w:tblPrEx>
        <w:trPr>
          <w:trHeight w:val="624" w:hRule="exac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9</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城建学院</w:t>
            </w:r>
          </w:p>
        </w:tc>
        <w:tc>
          <w:tcPr>
            <w:tcW w:w="37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专业课程开展课程思政改革的探索与思考</w:t>
            </w:r>
          </w:p>
        </w:tc>
        <w:tc>
          <w:tcPr>
            <w:tcW w:w="2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2020年11月20日</w:t>
            </w:r>
          </w:p>
        </w:tc>
      </w:tr>
      <w:tr>
        <w:tblPrEx>
          <w:tblCellMar>
            <w:top w:w="0" w:type="dxa"/>
            <w:left w:w="108" w:type="dxa"/>
            <w:bottom w:w="0" w:type="dxa"/>
            <w:right w:w="108" w:type="dxa"/>
          </w:tblCellMar>
        </w:tblPrEx>
        <w:trPr>
          <w:trHeight w:val="624" w:hRule="exac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10</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理学院</w:t>
            </w:r>
          </w:p>
        </w:tc>
        <w:tc>
          <w:tcPr>
            <w:tcW w:w="37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高校基础课程思政建设系列专题研讨会</w:t>
            </w:r>
          </w:p>
        </w:tc>
        <w:tc>
          <w:tcPr>
            <w:tcW w:w="2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2021年3月22日</w:t>
            </w:r>
          </w:p>
        </w:tc>
      </w:tr>
      <w:tr>
        <w:tblPrEx>
          <w:tblCellMar>
            <w:top w:w="0" w:type="dxa"/>
            <w:left w:w="108" w:type="dxa"/>
            <w:bottom w:w="0" w:type="dxa"/>
            <w:right w:w="108" w:type="dxa"/>
          </w:tblCellMar>
        </w:tblPrEx>
        <w:trPr>
          <w:trHeight w:val="624" w:hRule="exac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11</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城建学院</w:t>
            </w:r>
          </w:p>
        </w:tc>
        <w:tc>
          <w:tcPr>
            <w:tcW w:w="37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学科专业课程思政实践</w:t>
            </w:r>
          </w:p>
        </w:tc>
        <w:tc>
          <w:tcPr>
            <w:tcW w:w="2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2021年6月4日</w:t>
            </w:r>
          </w:p>
        </w:tc>
      </w:tr>
      <w:tr>
        <w:tblPrEx>
          <w:tblCellMar>
            <w:top w:w="0" w:type="dxa"/>
            <w:left w:w="108" w:type="dxa"/>
            <w:bottom w:w="0" w:type="dxa"/>
            <w:right w:w="108" w:type="dxa"/>
          </w:tblCellMar>
        </w:tblPrEx>
        <w:trPr>
          <w:trHeight w:val="624" w:hRule="exac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12</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体教部</w:t>
            </w:r>
          </w:p>
        </w:tc>
        <w:tc>
          <w:tcPr>
            <w:tcW w:w="37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《健康教育学》教材撰写暨“健康教育学”课程思政研讨会</w:t>
            </w:r>
          </w:p>
        </w:tc>
        <w:tc>
          <w:tcPr>
            <w:tcW w:w="2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2021年10月22日</w:t>
            </w:r>
          </w:p>
        </w:tc>
      </w:tr>
      <w:tr>
        <w:tblPrEx>
          <w:tblCellMar>
            <w:top w:w="0" w:type="dxa"/>
            <w:left w:w="108" w:type="dxa"/>
            <w:bottom w:w="0" w:type="dxa"/>
            <w:right w:w="108" w:type="dxa"/>
          </w:tblCellMar>
        </w:tblPrEx>
        <w:trPr>
          <w:trHeight w:val="624" w:hRule="exac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13</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教工部</w:t>
            </w:r>
          </w:p>
        </w:tc>
        <w:tc>
          <w:tcPr>
            <w:tcW w:w="37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在线教学@课程思政</w:t>
            </w:r>
          </w:p>
        </w:tc>
        <w:tc>
          <w:tcPr>
            <w:tcW w:w="2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2022年4月8日</w:t>
            </w:r>
          </w:p>
        </w:tc>
      </w:tr>
      <w:tr>
        <w:tblPrEx>
          <w:tblCellMar>
            <w:top w:w="0" w:type="dxa"/>
            <w:left w:w="108" w:type="dxa"/>
            <w:bottom w:w="0" w:type="dxa"/>
            <w:right w:w="108" w:type="dxa"/>
          </w:tblCellMar>
        </w:tblPrEx>
        <w:trPr>
          <w:trHeight w:val="624" w:hRule="exac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14</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理学院</w:t>
            </w:r>
          </w:p>
        </w:tc>
        <w:tc>
          <w:tcPr>
            <w:tcW w:w="37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课程思政研讨会</w:t>
            </w:r>
          </w:p>
        </w:tc>
        <w:tc>
          <w:tcPr>
            <w:tcW w:w="2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2022年12月1日</w:t>
            </w:r>
          </w:p>
        </w:tc>
      </w:tr>
      <w:tr>
        <w:tblPrEx>
          <w:tblCellMar>
            <w:top w:w="0" w:type="dxa"/>
            <w:left w:w="108" w:type="dxa"/>
            <w:bottom w:w="0" w:type="dxa"/>
            <w:right w:w="108" w:type="dxa"/>
          </w:tblCellMar>
        </w:tblPrEx>
        <w:trPr>
          <w:trHeight w:val="624" w:hRule="exac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15</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香化学部</w:t>
            </w:r>
          </w:p>
        </w:tc>
        <w:tc>
          <w:tcPr>
            <w:tcW w:w="37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课程思政名师交流会</w:t>
            </w:r>
          </w:p>
        </w:tc>
        <w:tc>
          <w:tcPr>
            <w:tcW w:w="2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2022年12月9日</w:t>
            </w:r>
          </w:p>
        </w:tc>
      </w:tr>
      <w:tr>
        <w:tblPrEx>
          <w:tblCellMar>
            <w:top w:w="0" w:type="dxa"/>
            <w:left w:w="108" w:type="dxa"/>
            <w:bottom w:w="0" w:type="dxa"/>
            <w:right w:w="108" w:type="dxa"/>
          </w:tblCellMar>
        </w:tblPrEx>
        <w:trPr>
          <w:trHeight w:val="624" w:hRule="exac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16</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轨交学院</w:t>
            </w:r>
          </w:p>
        </w:tc>
        <w:tc>
          <w:tcPr>
            <w:tcW w:w="37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党的二十大精神与课程思政高质量建设</w:t>
            </w:r>
          </w:p>
        </w:tc>
        <w:tc>
          <w:tcPr>
            <w:tcW w:w="2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2022年12月13日</w:t>
            </w:r>
          </w:p>
        </w:tc>
      </w:tr>
      <w:tr>
        <w:tblPrEx>
          <w:tblCellMar>
            <w:top w:w="0" w:type="dxa"/>
            <w:left w:w="108" w:type="dxa"/>
            <w:bottom w:w="0" w:type="dxa"/>
            <w:right w:w="108" w:type="dxa"/>
          </w:tblCellMar>
        </w:tblPrEx>
        <w:trPr>
          <w:trHeight w:val="624" w:hRule="exac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17</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城建&amp;机械</w:t>
            </w:r>
          </w:p>
        </w:tc>
        <w:tc>
          <w:tcPr>
            <w:tcW w:w="37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新工科背景下课程思政教育教学改革研讨会</w:t>
            </w:r>
          </w:p>
        </w:tc>
        <w:tc>
          <w:tcPr>
            <w:tcW w:w="2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2022年12月19日</w:t>
            </w:r>
          </w:p>
        </w:tc>
      </w:tr>
      <w:tr>
        <w:tblPrEx>
          <w:tblCellMar>
            <w:top w:w="0" w:type="dxa"/>
            <w:left w:w="108" w:type="dxa"/>
            <w:bottom w:w="0" w:type="dxa"/>
            <w:right w:w="108" w:type="dxa"/>
          </w:tblCellMar>
        </w:tblPrEx>
        <w:trPr>
          <w:trHeight w:val="624" w:hRule="exac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18</w:t>
            </w:r>
          </w:p>
        </w:tc>
        <w:tc>
          <w:tcPr>
            <w:tcW w:w="1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教工部</w:t>
            </w:r>
          </w:p>
        </w:tc>
        <w:tc>
          <w:tcPr>
            <w:tcW w:w="3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课程思政</w:t>
            </w:r>
            <w:r>
              <w:rPr>
                <w:rStyle w:val="38"/>
                <w:rFonts w:hint="eastAsia" w:ascii="宋体" w:hAnsi="宋体" w:eastAsia="宋体" w:cs="宋体"/>
                <w:sz w:val="24"/>
                <w:szCs w:val="24"/>
                <w:lang w:bidi="ar"/>
              </w:rPr>
              <w:t>2.0</w:t>
            </w:r>
            <w:r>
              <w:rPr>
                <w:rFonts w:hint="eastAsia" w:ascii="宋体" w:hAnsi="宋体" w:eastAsia="宋体" w:cs="宋体"/>
                <w:color w:val="000000"/>
                <w:kern w:val="0"/>
                <w:sz w:val="24"/>
                <w:szCs w:val="24"/>
                <w:lang w:bidi="ar"/>
              </w:rPr>
              <w:t>赋能应用型金课建设经验分享会</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2023年3月22日</w:t>
            </w:r>
          </w:p>
        </w:tc>
      </w:tr>
    </w:tbl>
    <w:p>
      <w:pPr>
        <w:spacing w:line="360" w:lineRule="auto"/>
        <w:ind w:firstLine="551" w:firstLineChars="196"/>
        <w:outlineLvl w:val="1"/>
        <w:rPr>
          <w:rFonts w:ascii="宋体" w:hAnsi="宋体" w:eastAsia="宋体" w:cs="宋体"/>
          <w:b/>
          <w:bCs/>
          <w:sz w:val="28"/>
          <w:szCs w:val="28"/>
        </w:rPr>
      </w:pPr>
    </w:p>
    <w:p>
      <w:pPr>
        <w:pStyle w:val="2"/>
        <w:spacing w:before="0" w:after="0" w:line="360" w:lineRule="auto"/>
        <w:ind w:firstLine="446" w:firstLineChars="148"/>
        <w:rPr>
          <w:rFonts w:asciiTheme="minorEastAsia" w:hAnsiTheme="minorEastAsia"/>
          <w:sz w:val="30"/>
          <w:szCs w:val="30"/>
        </w:rPr>
      </w:pPr>
      <w:bookmarkStart w:id="14" w:name="_Toc131671178"/>
      <w:r>
        <w:rPr>
          <w:rFonts w:hint="eastAsia" w:asciiTheme="minorEastAsia" w:hAnsiTheme="minorEastAsia"/>
          <w:sz w:val="30"/>
          <w:szCs w:val="30"/>
        </w:rPr>
        <w:t>（三）名师培育取得成果及成效</w:t>
      </w:r>
      <w:bookmarkEnd w:id="14"/>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1.学校教师荣获上海市课程思政教学名师</w:t>
      </w:r>
    </w:p>
    <w:p>
      <w:pPr>
        <w:spacing w:line="360" w:lineRule="auto"/>
        <w:rPr>
          <w:rFonts w:ascii="宋体" w:hAnsi="宋体" w:eastAsia="宋体" w:cs="宋体"/>
          <w:b/>
          <w:bCs/>
          <w:sz w:val="28"/>
          <w:szCs w:val="28"/>
        </w:rPr>
      </w:pPr>
      <w:r>
        <w:drawing>
          <wp:inline distT="0" distB="0" distL="0" distR="0">
            <wp:extent cx="5486400" cy="24003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1"/>
                    <a:stretch>
                      <a:fillRect/>
                    </a:stretch>
                  </pic:blipFill>
                  <pic:spPr>
                    <a:xfrm>
                      <a:off x="0" y="0"/>
                      <a:ext cx="5486400" cy="2400300"/>
                    </a:xfrm>
                    <a:prstGeom prst="rect">
                      <a:avLst/>
                    </a:prstGeom>
                  </pic:spPr>
                </pic:pic>
              </a:graphicData>
            </a:graphic>
          </wp:inline>
        </w:drawing>
      </w:r>
    </w:p>
    <w:p>
      <w:pPr>
        <w:spacing w:line="360" w:lineRule="auto"/>
        <w:ind w:firstLine="560" w:firstLineChars="200"/>
        <w:rPr>
          <w:rFonts w:ascii="宋体" w:hAnsi="宋体" w:eastAsia="宋体" w:cs="宋体"/>
          <w:sz w:val="28"/>
          <w:szCs w:val="28"/>
        </w:rPr>
      </w:pP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2.学校教师获批上海高校青年教师培养资助计划</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为贯彻落实国家和上海市高校思想政治工作会议精神，结合上海教育委员会《“上海高校青年教师培养资助计划”实施办法》（沪教委人〔2011〕26号）、《关于实施高校新教师岗前培训的通知》（沪教委人〔2013〕49号），上海市教委组织开展“上海高校青年教师培养资助计划”申报工作，项目紧密围绕课程思政开展。</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2019-2022年，我校共获批课题120项，其中重点课题17项，一般课题103项。</w:t>
      </w:r>
    </w:p>
    <w:p>
      <w:pPr>
        <w:spacing w:line="360" w:lineRule="auto"/>
        <w:rPr>
          <w:rFonts w:ascii="宋体" w:hAnsi="宋体" w:eastAsia="宋体" w:cs="宋体"/>
          <w:sz w:val="28"/>
          <w:szCs w:val="28"/>
        </w:rPr>
      </w:pPr>
      <w:r>
        <w:rPr>
          <w:rFonts w:hint="eastAsia" w:ascii="宋体" w:hAnsi="宋体" w:eastAsia="宋体" w:cs="宋体"/>
          <w:sz w:val="28"/>
          <w:szCs w:val="28"/>
        </w:rPr>
        <w:t>“上海高校青年教师培养资助计划”课程思政教学案例展演获奖情况</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7"/>
        <w:gridCol w:w="1841"/>
        <w:gridCol w:w="1419"/>
        <w:gridCol w:w="1420"/>
        <w:gridCol w:w="1420"/>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97" w:type="dxa"/>
          </w:tcPr>
          <w:p>
            <w:pPr>
              <w:spacing w:line="360" w:lineRule="auto"/>
              <w:jc w:val="center"/>
              <w:rPr>
                <w:rFonts w:asciiTheme="minorEastAsia" w:hAnsiTheme="minorEastAsia"/>
                <w:b/>
                <w:bCs/>
                <w:sz w:val="24"/>
                <w:szCs w:val="24"/>
              </w:rPr>
            </w:pPr>
            <w:r>
              <w:rPr>
                <w:rFonts w:hint="eastAsia" w:asciiTheme="minorEastAsia" w:hAnsiTheme="minorEastAsia"/>
                <w:b/>
                <w:bCs/>
                <w:sz w:val="24"/>
                <w:szCs w:val="24"/>
              </w:rPr>
              <w:t>序号</w:t>
            </w:r>
          </w:p>
        </w:tc>
        <w:tc>
          <w:tcPr>
            <w:tcW w:w="1841" w:type="dxa"/>
          </w:tcPr>
          <w:p>
            <w:pPr>
              <w:spacing w:line="360" w:lineRule="auto"/>
              <w:jc w:val="center"/>
              <w:rPr>
                <w:rFonts w:asciiTheme="minorEastAsia" w:hAnsiTheme="minorEastAsia"/>
                <w:b/>
                <w:bCs/>
                <w:sz w:val="24"/>
                <w:szCs w:val="24"/>
              </w:rPr>
            </w:pPr>
            <w:r>
              <w:rPr>
                <w:rFonts w:hint="eastAsia" w:asciiTheme="minorEastAsia" w:hAnsiTheme="minorEastAsia"/>
                <w:b/>
                <w:bCs/>
                <w:sz w:val="24"/>
                <w:szCs w:val="24"/>
              </w:rPr>
              <w:t>学院</w:t>
            </w:r>
          </w:p>
        </w:tc>
        <w:tc>
          <w:tcPr>
            <w:tcW w:w="1419" w:type="dxa"/>
          </w:tcPr>
          <w:p>
            <w:pPr>
              <w:spacing w:line="360" w:lineRule="auto"/>
              <w:jc w:val="center"/>
              <w:rPr>
                <w:rFonts w:asciiTheme="minorEastAsia" w:hAnsiTheme="minorEastAsia"/>
                <w:b/>
                <w:bCs/>
                <w:sz w:val="24"/>
                <w:szCs w:val="24"/>
              </w:rPr>
            </w:pPr>
            <w:r>
              <w:rPr>
                <w:rFonts w:hint="eastAsia" w:asciiTheme="minorEastAsia" w:hAnsiTheme="minorEastAsia"/>
                <w:b/>
                <w:bCs/>
                <w:sz w:val="24"/>
                <w:szCs w:val="24"/>
              </w:rPr>
              <w:t>姓名</w:t>
            </w:r>
          </w:p>
        </w:tc>
        <w:tc>
          <w:tcPr>
            <w:tcW w:w="1420" w:type="dxa"/>
          </w:tcPr>
          <w:p>
            <w:pPr>
              <w:spacing w:line="360" w:lineRule="auto"/>
              <w:jc w:val="center"/>
              <w:rPr>
                <w:rFonts w:asciiTheme="minorEastAsia" w:hAnsiTheme="minorEastAsia"/>
                <w:b/>
                <w:bCs/>
                <w:sz w:val="24"/>
                <w:szCs w:val="24"/>
              </w:rPr>
            </w:pPr>
            <w:r>
              <w:rPr>
                <w:rFonts w:hint="eastAsia" w:asciiTheme="minorEastAsia" w:hAnsiTheme="minorEastAsia"/>
                <w:b/>
                <w:bCs/>
                <w:sz w:val="24"/>
                <w:szCs w:val="24"/>
              </w:rPr>
              <w:t>组别</w:t>
            </w:r>
          </w:p>
        </w:tc>
        <w:tc>
          <w:tcPr>
            <w:tcW w:w="1420" w:type="dxa"/>
          </w:tcPr>
          <w:p>
            <w:pPr>
              <w:spacing w:line="360" w:lineRule="auto"/>
              <w:jc w:val="center"/>
              <w:rPr>
                <w:rFonts w:asciiTheme="minorEastAsia" w:hAnsiTheme="minorEastAsia"/>
                <w:b/>
                <w:bCs/>
                <w:sz w:val="24"/>
                <w:szCs w:val="24"/>
              </w:rPr>
            </w:pPr>
            <w:r>
              <w:rPr>
                <w:rFonts w:hint="eastAsia" w:asciiTheme="minorEastAsia" w:hAnsiTheme="minorEastAsia"/>
                <w:b/>
                <w:bCs/>
                <w:sz w:val="24"/>
                <w:szCs w:val="24"/>
              </w:rPr>
              <w:t>获奖等级</w:t>
            </w:r>
          </w:p>
        </w:tc>
        <w:tc>
          <w:tcPr>
            <w:tcW w:w="1420" w:type="dxa"/>
          </w:tcPr>
          <w:p>
            <w:pPr>
              <w:spacing w:line="360" w:lineRule="auto"/>
              <w:jc w:val="center"/>
              <w:rPr>
                <w:rFonts w:asciiTheme="minorEastAsia" w:hAnsiTheme="minorEastAsia"/>
                <w:b/>
                <w:bCs/>
                <w:sz w:val="24"/>
                <w:szCs w:val="24"/>
              </w:rPr>
            </w:pPr>
            <w:r>
              <w:rPr>
                <w:rFonts w:hint="eastAsia" w:asciiTheme="minorEastAsia" w:hAnsiTheme="minorEastAsia"/>
                <w:b/>
                <w:bCs/>
                <w:sz w:val="24"/>
                <w:szCs w:val="24"/>
              </w:rPr>
              <w:t>获奖年份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97" w:type="dxa"/>
          </w:tcPr>
          <w:p>
            <w:pPr>
              <w:spacing w:line="360" w:lineRule="auto"/>
              <w:jc w:val="center"/>
              <w:rPr>
                <w:rFonts w:asciiTheme="minorEastAsia" w:hAnsiTheme="minorEastAsia"/>
                <w:sz w:val="24"/>
                <w:szCs w:val="24"/>
              </w:rPr>
            </w:pPr>
            <w:r>
              <w:rPr>
                <w:rFonts w:hint="eastAsia" w:asciiTheme="minorEastAsia" w:hAnsiTheme="minorEastAsia"/>
                <w:sz w:val="24"/>
                <w:szCs w:val="24"/>
              </w:rPr>
              <w:t>1</w:t>
            </w:r>
          </w:p>
        </w:tc>
        <w:tc>
          <w:tcPr>
            <w:tcW w:w="1841" w:type="dxa"/>
          </w:tcPr>
          <w:p>
            <w:pPr>
              <w:spacing w:line="360" w:lineRule="auto"/>
              <w:jc w:val="center"/>
              <w:rPr>
                <w:rFonts w:asciiTheme="minorEastAsia" w:hAnsiTheme="minorEastAsia"/>
                <w:sz w:val="24"/>
                <w:szCs w:val="24"/>
              </w:rPr>
            </w:pPr>
            <w:r>
              <w:rPr>
                <w:rFonts w:hint="eastAsia" w:asciiTheme="minorEastAsia" w:hAnsiTheme="minorEastAsia"/>
                <w:sz w:val="24"/>
                <w:szCs w:val="24"/>
              </w:rPr>
              <w:t>化工学院</w:t>
            </w:r>
          </w:p>
        </w:tc>
        <w:tc>
          <w:tcPr>
            <w:tcW w:w="1419" w:type="dxa"/>
          </w:tcPr>
          <w:p>
            <w:pPr>
              <w:spacing w:line="360" w:lineRule="auto"/>
              <w:jc w:val="center"/>
              <w:rPr>
                <w:rFonts w:asciiTheme="minorEastAsia" w:hAnsiTheme="minorEastAsia"/>
                <w:sz w:val="24"/>
                <w:szCs w:val="24"/>
              </w:rPr>
            </w:pPr>
            <w:r>
              <w:rPr>
                <w:rFonts w:hint="eastAsia" w:asciiTheme="minorEastAsia" w:hAnsiTheme="minorEastAsia"/>
                <w:sz w:val="24"/>
                <w:szCs w:val="24"/>
              </w:rPr>
              <w:t>靳苗苗</w:t>
            </w:r>
          </w:p>
        </w:tc>
        <w:tc>
          <w:tcPr>
            <w:tcW w:w="1420" w:type="dxa"/>
          </w:tcPr>
          <w:p>
            <w:pPr>
              <w:spacing w:line="360" w:lineRule="auto"/>
              <w:jc w:val="center"/>
              <w:rPr>
                <w:rFonts w:asciiTheme="minorEastAsia" w:hAnsiTheme="minorEastAsia"/>
                <w:sz w:val="24"/>
                <w:szCs w:val="24"/>
              </w:rPr>
            </w:pPr>
            <w:r>
              <w:rPr>
                <w:rFonts w:hint="eastAsia" w:asciiTheme="minorEastAsia" w:hAnsiTheme="minorEastAsia"/>
                <w:sz w:val="24"/>
                <w:szCs w:val="24"/>
              </w:rPr>
              <w:t>自然科学组</w:t>
            </w:r>
          </w:p>
        </w:tc>
        <w:tc>
          <w:tcPr>
            <w:tcW w:w="1420" w:type="dxa"/>
          </w:tcPr>
          <w:p>
            <w:pPr>
              <w:spacing w:line="360" w:lineRule="auto"/>
              <w:jc w:val="center"/>
              <w:rPr>
                <w:rFonts w:asciiTheme="minorEastAsia" w:hAnsiTheme="minorEastAsia"/>
                <w:sz w:val="24"/>
                <w:szCs w:val="24"/>
              </w:rPr>
            </w:pPr>
            <w:r>
              <w:rPr>
                <w:rFonts w:hint="eastAsia" w:asciiTheme="minorEastAsia" w:hAnsiTheme="minorEastAsia"/>
                <w:sz w:val="24"/>
                <w:szCs w:val="24"/>
              </w:rPr>
              <w:t>三等奖</w:t>
            </w:r>
          </w:p>
        </w:tc>
        <w:tc>
          <w:tcPr>
            <w:tcW w:w="1420" w:type="dxa"/>
          </w:tcPr>
          <w:p>
            <w:pPr>
              <w:spacing w:line="360" w:lineRule="auto"/>
              <w:jc w:val="center"/>
              <w:rPr>
                <w:rFonts w:asciiTheme="minorEastAsia" w:hAnsiTheme="minorEastAsia"/>
                <w:sz w:val="24"/>
                <w:szCs w:val="24"/>
              </w:rPr>
            </w:pPr>
            <w:r>
              <w:rPr>
                <w:rFonts w:hint="eastAsia" w:asciiTheme="minorEastAsia" w:hAnsiTheme="minorEastAsia"/>
                <w:sz w:val="24"/>
                <w:szCs w:val="24"/>
              </w:rPr>
              <w:t>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97" w:type="dxa"/>
          </w:tcPr>
          <w:p>
            <w:pPr>
              <w:spacing w:line="360" w:lineRule="auto"/>
              <w:jc w:val="center"/>
              <w:rPr>
                <w:rFonts w:asciiTheme="minorEastAsia" w:hAnsiTheme="minorEastAsia"/>
                <w:sz w:val="24"/>
                <w:szCs w:val="24"/>
              </w:rPr>
            </w:pPr>
            <w:r>
              <w:rPr>
                <w:rFonts w:hint="eastAsia" w:asciiTheme="minorEastAsia" w:hAnsiTheme="minorEastAsia"/>
                <w:sz w:val="24"/>
                <w:szCs w:val="24"/>
              </w:rPr>
              <w:t>2</w:t>
            </w:r>
          </w:p>
        </w:tc>
        <w:tc>
          <w:tcPr>
            <w:tcW w:w="1841" w:type="dxa"/>
          </w:tcPr>
          <w:p>
            <w:pPr>
              <w:spacing w:line="360" w:lineRule="auto"/>
              <w:jc w:val="center"/>
              <w:rPr>
                <w:rFonts w:asciiTheme="minorEastAsia" w:hAnsiTheme="minorEastAsia"/>
                <w:sz w:val="24"/>
                <w:szCs w:val="24"/>
              </w:rPr>
            </w:pPr>
            <w:r>
              <w:rPr>
                <w:rFonts w:hint="eastAsia" w:asciiTheme="minorEastAsia" w:hAnsiTheme="minorEastAsia"/>
                <w:sz w:val="24"/>
                <w:szCs w:val="24"/>
              </w:rPr>
              <w:t>经管学院</w:t>
            </w:r>
          </w:p>
        </w:tc>
        <w:tc>
          <w:tcPr>
            <w:tcW w:w="1419" w:type="dxa"/>
          </w:tcPr>
          <w:p>
            <w:pPr>
              <w:spacing w:line="360" w:lineRule="auto"/>
              <w:jc w:val="center"/>
              <w:rPr>
                <w:rFonts w:asciiTheme="minorEastAsia" w:hAnsiTheme="minorEastAsia"/>
                <w:sz w:val="24"/>
                <w:szCs w:val="24"/>
              </w:rPr>
            </w:pPr>
            <w:r>
              <w:rPr>
                <w:rFonts w:hint="eastAsia" w:asciiTheme="minorEastAsia" w:hAnsiTheme="minorEastAsia"/>
                <w:sz w:val="24"/>
                <w:szCs w:val="24"/>
              </w:rPr>
              <w:t>牛晓琴</w:t>
            </w:r>
          </w:p>
        </w:tc>
        <w:tc>
          <w:tcPr>
            <w:tcW w:w="1420" w:type="dxa"/>
          </w:tcPr>
          <w:p>
            <w:pPr>
              <w:spacing w:line="360" w:lineRule="auto"/>
              <w:jc w:val="center"/>
              <w:rPr>
                <w:rFonts w:asciiTheme="minorEastAsia" w:hAnsiTheme="minorEastAsia"/>
                <w:sz w:val="24"/>
                <w:szCs w:val="24"/>
              </w:rPr>
            </w:pPr>
            <w:r>
              <w:rPr>
                <w:rFonts w:hint="eastAsia" w:asciiTheme="minorEastAsia" w:hAnsiTheme="minorEastAsia"/>
                <w:sz w:val="24"/>
                <w:szCs w:val="24"/>
              </w:rPr>
              <w:t>经管法组</w:t>
            </w:r>
          </w:p>
        </w:tc>
        <w:tc>
          <w:tcPr>
            <w:tcW w:w="1420" w:type="dxa"/>
          </w:tcPr>
          <w:p>
            <w:pPr>
              <w:spacing w:line="360" w:lineRule="auto"/>
              <w:jc w:val="center"/>
              <w:rPr>
                <w:rFonts w:asciiTheme="minorEastAsia" w:hAnsiTheme="minorEastAsia"/>
                <w:sz w:val="24"/>
                <w:szCs w:val="24"/>
              </w:rPr>
            </w:pPr>
            <w:r>
              <w:rPr>
                <w:rFonts w:hint="eastAsia" w:asciiTheme="minorEastAsia" w:hAnsiTheme="minorEastAsia"/>
                <w:sz w:val="24"/>
                <w:szCs w:val="24"/>
              </w:rPr>
              <w:t>二等奖</w:t>
            </w:r>
          </w:p>
        </w:tc>
        <w:tc>
          <w:tcPr>
            <w:tcW w:w="1420" w:type="dxa"/>
          </w:tcPr>
          <w:p>
            <w:pPr>
              <w:spacing w:line="360" w:lineRule="auto"/>
              <w:jc w:val="center"/>
              <w:rPr>
                <w:rFonts w:asciiTheme="minorEastAsia" w:hAnsiTheme="minorEastAsia"/>
                <w:sz w:val="24"/>
                <w:szCs w:val="24"/>
              </w:rPr>
            </w:pPr>
            <w:r>
              <w:rPr>
                <w:rFonts w:hint="eastAsia" w:asciiTheme="minorEastAsia" w:hAnsiTheme="minorEastAsia"/>
                <w:sz w:val="24"/>
                <w:szCs w:val="24"/>
              </w:rPr>
              <w:t>2021年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97" w:type="dxa"/>
          </w:tcPr>
          <w:p>
            <w:pPr>
              <w:spacing w:line="360" w:lineRule="auto"/>
              <w:jc w:val="center"/>
              <w:rPr>
                <w:rFonts w:asciiTheme="minorEastAsia" w:hAnsiTheme="minorEastAsia"/>
                <w:sz w:val="24"/>
                <w:szCs w:val="24"/>
              </w:rPr>
            </w:pPr>
            <w:r>
              <w:rPr>
                <w:rFonts w:hint="eastAsia" w:asciiTheme="minorEastAsia" w:hAnsiTheme="minorEastAsia"/>
                <w:sz w:val="24"/>
                <w:szCs w:val="24"/>
              </w:rPr>
              <w:t>3</w:t>
            </w:r>
          </w:p>
        </w:tc>
        <w:tc>
          <w:tcPr>
            <w:tcW w:w="1841" w:type="dxa"/>
          </w:tcPr>
          <w:p>
            <w:pPr>
              <w:spacing w:line="360" w:lineRule="auto"/>
              <w:jc w:val="center"/>
              <w:rPr>
                <w:rFonts w:asciiTheme="minorEastAsia" w:hAnsiTheme="minorEastAsia"/>
                <w:sz w:val="24"/>
                <w:szCs w:val="24"/>
              </w:rPr>
            </w:pPr>
            <w:r>
              <w:rPr>
                <w:rFonts w:hint="eastAsia" w:asciiTheme="minorEastAsia" w:hAnsiTheme="minorEastAsia"/>
                <w:sz w:val="24"/>
                <w:szCs w:val="24"/>
              </w:rPr>
              <w:t>化工学院</w:t>
            </w:r>
          </w:p>
        </w:tc>
        <w:tc>
          <w:tcPr>
            <w:tcW w:w="1419" w:type="dxa"/>
          </w:tcPr>
          <w:p>
            <w:pPr>
              <w:spacing w:line="360" w:lineRule="auto"/>
              <w:jc w:val="center"/>
              <w:rPr>
                <w:rFonts w:asciiTheme="minorEastAsia" w:hAnsiTheme="minorEastAsia"/>
                <w:sz w:val="24"/>
                <w:szCs w:val="24"/>
              </w:rPr>
            </w:pPr>
            <w:r>
              <w:rPr>
                <w:rFonts w:hint="eastAsia" w:asciiTheme="minorEastAsia" w:hAnsiTheme="minorEastAsia"/>
                <w:sz w:val="24"/>
                <w:szCs w:val="24"/>
              </w:rPr>
              <w:t>刘吉波</w:t>
            </w:r>
          </w:p>
        </w:tc>
        <w:tc>
          <w:tcPr>
            <w:tcW w:w="1420" w:type="dxa"/>
          </w:tcPr>
          <w:p>
            <w:pPr>
              <w:spacing w:line="360" w:lineRule="auto"/>
              <w:jc w:val="center"/>
              <w:rPr>
                <w:rFonts w:asciiTheme="minorEastAsia" w:hAnsiTheme="minorEastAsia"/>
                <w:sz w:val="24"/>
                <w:szCs w:val="24"/>
              </w:rPr>
            </w:pPr>
            <w:r>
              <w:rPr>
                <w:rFonts w:hint="eastAsia" w:asciiTheme="minorEastAsia" w:hAnsiTheme="minorEastAsia"/>
                <w:sz w:val="24"/>
                <w:szCs w:val="24"/>
              </w:rPr>
              <w:t>自然科学组</w:t>
            </w:r>
          </w:p>
        </w:tc>
        <w:tc>
          <w:tcPr>
            <w:tcW w:w="1420" w:type="dxa"/>
          </w:tcPr>
          <w:p>
            <w:pPr>
              <w:spacing w:line="360" w:lineRule="auto"/>
              <w:jc w:val="center"/>
              <w:rPr>
                <w:rFonts w:asciiTheme="minorEastAsia" w:hAnsiTheme="minorEastAsia"/>
                <w:sz w:val="24"/>
                <w:szCs w:val="24"/>
              </w:rPr>
            </w:pPr>
            <w:r>
              <w:rPr>
                <w:rFonts w:hint="eastAsia" w:asciiTheme="minorEastAsia" w:hAnsiTheme="minorEastAsia"/>
                <w:sz w:val="24"/>
                <w:szCs w:val="24"/>
              </w:rPr>
              <w:t>三等奖</w:t>
            </w:r>
          </w:p>
        </w:tc>
        <w:tc>
          <w:tcPr>
            <w:tcW w:w="1420" w:type="dxa"/>
          </w:tcPr>
          <w:p>
            <w:pPr>
              <w:spacing w:line="360" w:lineRule="auto"/>
              <w:jc w:val="center"/>
              <w:rPr>
                <w:rFonts w:asciiTheme="minorEastAsia" w:hAnsiTheme="minorEastAsia"/>
                <w:sz w:val="24"/>
                <w:szCs w:val="24"/>
              </w:rPr>
            </w:pPr>
            <w:r>
              <w:rPr>
                <w:rFonts w:hint="eastAsia" w:asciiTheme="minorEastAsia" w:hAnsiTheme="minorEastAsia"/>
                <w:sz w:val="24"/>
                <w:szCs w:val="24"/>
              </w:rPr>
              <w:t>2021年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97" w:type="dxa"/>
          </w:tcPr>
          <w:p>
            <w:pPr>
              <w:spacing w:line="360" w:lineRule="auto"/>
              <w:jc w:val="center"/>
              <w:rPr>
                <w:rFonts w:asciiTheme="minorEastAsia" w:hAnsiTheme="minorEastAsia"/>
                <w:sz w:val="24"/>
                <w:szCs w:val="24"/>
              </w:rPr>
            </w:pPr>
            <w:r>
              <w:rPr>
                <w:rFonts w:hint="eastAsia" w:asciiTheme="minorEastAsia" w:hAnsiTheme="minorEastAsia"/>
                <w:sz w:val="24"/>
                <w:szCs w:val="24"/>
              </w:rPr>
              <w:t>4</w:t>
            </w:r>
          </w:p>
        </w:tc>
        <w:tc>
          <w:tcPr>
            <w:tcW w:w="1841" w:type="dxa"/>
          </w:tcPr>
          <w:p>
            <w:pPr>
              <w:spacing w:line="360" w:lineRule="auto"/>
              <w:jc w:val="center"/>
              <w:rPr>
                <w:rFonts w:asciiTheme="minorEastAsia" w:hAnsiTheme="minorEastAsia"/>
                <w:sz w:val="24"/>
                <w:szCs w:val="24"/>
              </w:rPr>
            </w:pPr>
            <w:r>
              <w:rPr>
                <w:rFonts w:hint="eastAsia" w:asciiTheme="minorEastAsia" w:hAnsiTheme="minorEastAsia"/>
                <w:sz w:val="24"/>
                <w:szCs w:val="24"/>
              </w:rPr>
              <w:t>材料学院</w:t>
            </w:r>
          </w:p>
        </w:tc>
        <w:tc>
          <w:tcPr>
            <w:tcW w:w="1419" w:type="dxa"/>
          </w:tcPr>
          <w:p>
            <w:pPr>
              <w:spacing w:line="360" w:lineRule="auto"/>
              <w:jc w:val="center"/>
              <w:rPr>
                <w:rFonts w:asciiTheme="minorEastAsia" w:hAnsiTheme="minorEastAsia"/>
                <w:sz w:val="24"/>
                <w:szCs w:val="24"/>
              </w:rPr>
            </w:pPr>
            <w:r>
              <w:rPr>
                <w:rFonts w:hint="eastAsia" w:asciiTheme="minorEastAsia" w:hAnsiTheme="minorEastAsia"/>
                <w:sz w:val="24"/>
                <w:szCs w:val="24"/>
              </w:rPr>
              <w:t>刘敏</w:t>
            </w:r>
          </w:p>
        </w:tc>
        <w:tc>
          <w:tcPr>
            <w:tcW w:w="1420" w:type="dxa"/>
          </w:tcPr>
          <w:p>
            <w:pPr>
              <w:spacing w:line="360" w:lineRule="auto"/>
              <w:jc w:val="center"/>
              <w:rPr>
                <w:rFonts w:asciiTheme="minorEastAsia" w:hAnsiTheme="minorEastAsia"/>
                <w:sz w:val="24"/>
                <w:szCs w:val="24"/>
              </w:rPr>
            </w:pPr>
            <w:r>
              <w:rPr>
                <w:rFonts w:hint="eastAsia" w:asciiTheme="minorEastAsia" w:hAnsiTheme="minorEastAsia"/>
                <w:sz w:val="24"/>
                <w:szCs w:val="24"/>
              </w:rPr>
              <w:t>自然科学组</w:t>
            </w:r>
          </w:p>
        </w:tc>
        <w:tc>
          <w:tcPr>
            <w:tcW w:w="1420" w:type="dxa"/>
          </w:tcPr>
          <w:p>
            <w:pPr>
              <w:spacing w:line="360" w:lineRule="auto"/>
              <w:jc w:val="center"/>
              <w:rPr>
                <w:rFonts w:asciiTheme="minorEastAsia" w:hAnsiTheme="minorEastAsia"/>
                <w:sz w:val="24"/>
                <w:szCs w:val="24"/>
              </w:rPr>
            </w:pPr>
            <w:r>
              <w:rPr>
                <w:rFonts w:hint="eastAsia" w:asciiTheme="minorEastAsia" w:hAnsiTheme="minorEastAsia"/>
                <w:sz w:val="24"/>
                <w:szCs w:val="24"/>
              </w:rPr>
              <w:t>一等奖</w:t>
            </w:r>
          </w:p>
        </w:tc>
        <w:tc>
          <w:tcPr>
            <w:tcW w:w="1420" w:type="dxa"/>
          </w:tcPr>
          <w:p>
            <w:pPr>
              <w:spacing w:line="360" w:lineRule="auto"/>
              <w:jc w:val="center"/>
              <w:rPr>
                <w:rFonts w:asciiTheme="minorEastAsia" w:hAnsiTheme="minorEastAsia"/>
                <w:sz w:val="24"/>
                <w:szCs w:val="24"/>
              </w:rPr>
            </w:pPr>
            <w:r>
              <w:rPr>
                <w:rFonts w:hint="eastAsia" w:asciiTheme="minorEastAsia" w:hAnsiTheme="minorEastAsia"/>
                <w:sz w:val="24"/>
                <w:szCs w:val="24"/>
              </w:rPr>
              <w:t>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97" w:type="dxa"/>
          </w:tcPr>
          <w:p>
            <w:pPr>
              <w:spacing w:line="360" w:lineRule="auto"/>
              <w:jc w:val="center"/>
              <w:rPr>
                <w:rFonts w:asciiTheme="minorEastAsia" w:hAnsiTheme="minorEastAsia"/>
                <w:sz w:val="24"/>
                <w:szCs w:val="24"/>
              </w:rPr>
            </w:pPr>
            <w:r>
              <w:rPr>
                <w:rFonts w:hint="eastAsia" w:asciiTheme="minorEastAsia" w:hAnsiTheme="minorEastAsia"/>
                <w:sz w:val="24"/>
                <w:szCs w:val="24"/>
              </w:rPr>
              <w:t>5</w:t>
            </w:r>
          </w:p>
        </w:tc>
        <w:tc>
          <w:tcPr>
            <w:tcW w:w="1841" w:type="dxa"/>
          </w:tcPr>
          <w:p>
            <w:pPr>
              <w:spacing w:line="360" w:lineRule="auto"/>
              <w:jc w:val="center"/>
              <w:rPr>
                <w:rFonts w:asciiTheme="minorEastAsia" w:hAnsiTheme="minorEastAsia"/>
                <w:sz w:val="24"/>
                <w:szCs w:val="24"/>
              </w:rPr>
            </w:pPr>
            <w:r>
              <w:rPr>
                <w:rFonts w:hint="eastAsia" w:asciiTheme="minorEastAsia" w:hAnsiTheme="minorEastAsia"/>
                <w:sz w:val="24"/>
                <w:szCs w:val="24"/>
              </w:rPr>
              <w:t>经管学院</w:t>
            </w:r>
          </w:p>
        </w:tc>
        <w:tc>
          <w:tcPr>
            <w:tcW w:w="1419" w:type="dxa"/>
          </w:tcPr>
          <w:p>
            <w:pPr>
              <w:spacing w:line="360" w:lineRule="auto"/>
              <w:jc w:val="center"/>
              <w:rPr>
                <w:rFonts w:asciiTheme="minorEastAsia" w:hAnsiTheme="minorEastAsia"/>
                <w:sz w:val="24"/>
                <w:szCs w:val="24"/>
              </w:rPr>
            </w:pPr>
            <w:r>
              <w:rPr>
                <w:rFonts w:hint="eastAsia" w:asciiTheme="minorEastAsia" w:hAnsiTheme="minorEastAsia"/>
                <w:sz w:val="24"/>
                <w:szCs w:val="24"/>
              </w:rPr>
              <w:t>艾维娜</w:t>
            </w:r>
          </w:p>
        </w:tc>
        <w:tc>
          <w:tcPr>
            <w:tcW w:w="1420" w:type="dxa"/>
          </w:tcPr>
          <w:p>
            <w:pPr>
              <w:spacing w:line="360" w:lineRule="auto"/>
              <w:jc w:val="center"/>
              <w:rPr>
                <w:rFonts w:asciiTheme="minorEastAsia" w:hAnsiTheme="minorEastAsia"/>
                <w:sz w:val="24"/>
                <w:szCs w:val="24"/>
              </w:rPr>
            </w:pPr>
            <w:r>
              <w:rPr>
                <w:rFonts w:hint="eastAsia" w:asciiTheme="minorEastAsia" w:hAnsiTheme="minorEastAsia"/>
                <w:sz w:val="24"/>
                <w:szCs w:val="24"/>
              </w:rPr>
              <w:t>经管法祖</w:t>
            </w:r>
          </w:p>
        </w:tc>
        <w:tc>
          <w:tcPr>
            <w:tcW w:w="1420" w:type="dxa"/>
          </w:tcPr>
          <w:p>
            <w:pPr>
              <w:spacing w:line="360" w:lineRule="auto"/>
              <w:jc w:val="center"/>
              <w:rPr>
                <w:rFonts w:asciiTheme="minorEastAsia" w:hAnsiTheme="minorEastAsia"/>
                <w:sz w:val="24"/>
                <w:szCs w:val="24"/>
              </w:rPr>
            </w:pPr>
            <w:r>
              <w:rPr>
                <w:rFonts w:hint="eastAsia" w:asciiTheme="minorEastAsia" w:hAnsiTheme="minorEastAsia"/>
                <w:sz w:val="24"/>
                <w:szCs w:val="24"/>
              </w:rPr>
              <w:t>二等奖</w:t>
            </w:r>
          </w:p>
        </w:tc>
        <w:tc>
          <w:tcPr>
            <w:tcW w:w="1420" w:type="dxa"/>
          </w:tcPr>
          <w:p>
            <w:pPr>
              <w:spacing w:line="360" w:lineRule="auto"/>
              <w:jc w:val="center"/>
              <w:rPr>
                <w:rFonts w:asciiTheme="minorEastAsia" w:hAnsiTheme="minorEastAsia"/>
                <w:sz w:val="24"/>
                <w:szCs w:val="24"/>
              </w:rPr>
            </w:pPr>
            <w:r>
              <w:rPr>
                <w:rFonts w:hint="eastAsia" w:asciiTheme="minorEastAsia" w:hAnsiTheme="minorEastAsia"/>
                <w:sz w:val="24"/>
                <w:szCs w:val="24"/>
              </w:rPr>
              <w:t>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97" w:type="dxa"/>
          </w:tcPr>
          <w:p>
            <w:pPr>
              <w:spacing w:line="360" w:lineRule="auto"/>
              <w:jc w:val="center"/>
              <w:rPr>
                <w:rFonts w:asciiTheme="minorEastAsia" w:hAnsiTheme="minorEastAsia"/>
                <w:sz w:val="24"/>
                <w:szCs w:val="24"/>
              </w:rPr>
            </w:pPr>
            <w:r>
              <w:rPr>
                <w:rFonts w:hint="eastAsia" w:asciiTheme="minorEastAsia" w:hAnsiTheme="minorEastAsia"/>
                <w:sz w:val="24"/>
                <w:szCs w:val="24"/>
              </w:rPr>
              <w:t>6</w:t>
            </w:r>
          </w:p>
        </w:tc>
        <w:tc>
          <w:tcPr>
            <w:tcW w:w="1841" w:type="dxa"/>
          </w:tcPr>
          <w:p>
            <w:pPr>
              <w:spacing w:line="360" w:lineRule="auto"/>
              <w:jc w:val="center"/>
              <w:rPr>
                <w:rFonts w:asciiTheme="minorEastAsia" w:hAnsiTheme="minorEastAsia"/>
                <w:sz w:val="24"/>
                <w:szCs w:val="24"/>
              </w:rPr>
            </w:pPr>
            <w:r>
              <w:rPr>
                <w:rFonts w:hint="eastAsia" w:asciiTheme="minorEastAsia" w:hAnsiTheme="minorEastAsia"/>
                <w:sz w:val="24"/>
                <w:szCs w:val="24"/>
              </w:rPr>
              <w:t>人文学院</w:t>
            </w:r>
          </w:p>
        </w:tc>
        <w:tc>
          <w:tcPr>
            <w:tcW w:w="1419" w:type="dxa"/>
          </w:tcPr>
          <w:p>
            <w:pPr>
              <w:spacing w:line="360" w:lineRule="auto"/>
              <w:jc w:val="center"/>
              <w:rPr>
                <w:rFonts w:asciiTheme="minorEastAsia" w:hAnsiTheme="minorEastAsia"/>
                <w:sz w:val="24"/>
                <w:szCs w:val="24"/>
              </w:rPr>
            </w:pPr>
            <w:r>
              <w:rPr>
                <w:rFonts w:hint="eastAsia" w:asciiTheme="minorEastAsia" w:hAnsiTheme="minorEastAsia"/>
                <w:sz w:val="24"/>
                <w:szCs w:val="24"/>
              </w:rPr>
              <w:t>张旭阳</w:t>
            </w:r>
          </w:p>
        </w:tc>
        <w:tc>
          <w:tcPr>
            <w:tcW w:w="1420" w:type="dxa"/>
          </w:tcPr>
          <w:p>
            <w:pPr>
              <w:spacing w:line="360" w:lineRule="auto"/>
              <w:jc w:val="center"/>
              <w:rPr>
                <w:rFonts w:asciiTheme="minorEastAsia" w:hAnsiTheme="minorEastAsia"/>
                <w:sz w:val="24"/>
                <w:szCs w:val="24"/>
              </w:rPr>
            </w:pPr>
            <w:r>
              <w:rPr>
                <w:rFonts w:hint="eastAsia" w:asciiTheme="minorEastAsia" w:hAnsiTheme="minorEastAsia"/>
                <w:sz w:val="24"/>
                <w:szCs w:val="24"/>
              </w:rPr>
              <w:t>人文科学组</w:t>
            </w:r>
          </w:p>
        </w:tc>
        <w:tc>
          <w:tcPr>
            <w:tcW w:w="1420" w:type="dxa"/>
          </w:tcPr>
          <w:p>
            <w:pPr>
              <w:spacing w:line="360" w:lineRule="auto"/>
              <w:jc w:val="center"/>
              <w:rPr>
                <w:rFonts w:asciiTheme="minorEastAsia" w:hAnsiTheme="minorEastAsia"/>
                <w:sz w:val="24"/>
                <w:szCs w:val="24"/>
              </w:rPr>
            </w:pPr>
            <w:r>
              <w:rPr>
                <w:rFonts w:hint="eastAsia" w:asciiTheme="minorEastAsia" w:hAnsiTheme="minorEastAsia"/>
                <w:sz w:val="24"/>
                <w:szCs w:val="24"/>
              </w:rPr>
              <w:t>优秀奖</w:t>
            </w:r>
          </w:p>
        </w:tc>
        <w:tc>
          <w:tcPr>
            <w:tcW w:w="1420" w:type="dxa"/>
          </w:tcPr>
          <w:p>
            <w:pPr>
              <w:spacing w:line="360" w:lineRule="auto"/>
              <w:jc w:val="center"/>
              <w:rPr>
                <w:rFonts w:asciiTheme="minorEastAsia" w:hAnsiTheme="minorEastAsia"/>
                <w:sz w:val="24"/>
                <w:szCs w:val="24"/>
              </w:rPr>
            </w:pPr>
            <w:r>
              <w:rPr>
                <w:rFonts w:hint="eastAsia" w:asciiTheme="minorEastAsia" w:hAnsiTheme="minorEastAsia"/>
                <w:sz w:val="24"/>
                <w:szCs w:val="24"/>
              </w:rPr>
              <w:t>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97" w:type="dxa"/>
          </w:tcPr>
          <w:p>
            <w:pPr>
              <w:spacing w:line="360" w:lineRule="auto"/>
              <w:jc w:val="center"/>
              <w:rPr>
                <w:rFonts w:asciiTheme="minorEastAsia" w:hAnsiTheme="minorEastAsia"/>
                <w:sz w:val="24"/>
                <w:szCs w:val="24"/>
              </w:rPr>
            </w:pPr>
            <w:r>
              <w:rPr>
                <w:rFonts w:hint="eastAsia" w:asciiTheme="minorEastAsia" w:hAnsiTheme="minorEastAsia"/>
                <w:sz w:val="24"/>
                <w:szCs w:val="24"/>
              </w:rPr>
              <w:t>7</w:t>
            </w:r>
          </w:p>
        </w:tc>
        <w:tc>
          <w:tcPr>
            <w:tcW w:w="1841" w:type="dxa"/>
          </w:tcPr>
          <w:p>
            <w:pPr>
              <w:spacing w:line="360" w:lineRule="auto"/>
              <w:jc w:val="center"/>
              <w:rPr>
                <w:rFonts w:asciiTheme="minorEastAsia" w:hAnsiTheme="minorEastAsia"/>
                <w:sz w:val="24"/>
                <w:szCs w:val="24"/>
              </w:rPr>
            </w:pPr>
            <w:r>
              <w:rPr>
                <w:rFonts w:hint="eastAsia" w:asciiTheme="minorEastAsia" w:hAnsiTheme="minorEastAsia"/>
                <w:sz w:val="24"/>
                <w:szCs w:val="24"/>
              </w:rPr>
              <w:t>电气学院</w:t>
            </w:r>
          </w:p>
        </w:tc>
        <w:tc>
          <w:tcPr>
            <w:tcW w:w="1419" w:type="dxa"/>
          </w:tcPr>
          <w:p>
            <w:pPr>
              <w:spacing w:line="360" w:lineRule="auto"/>
              <w:jc w:val="center"/>
              <w:rPr>
                <w:rFonts w:asciiTheme="minorEastAsia" w:hAnsiTheme="minorEastAsia"/>
                <w:sz w:val="24"/>
                <w:szCs w:val="24"/>
              </w:rPr>
            </w:pPr>
            <w:r>
              <w:rPr>
                <w:rFonts w:hint="eastAsia" w:asciiTheme="minorEastAsia" w:hAnsiTheme="minorEastAsia"/>
                <w:sz w:val="24"/>
                <w:szCs w:val="24"/>
              </w:rPr>
              <w:t>安雪娜</w:t>
            </w:r>
          </w:p>
        </w:tc>
        <w:tc>
          <w:tcPr>
            <w:tcW w:w="1420" w:type="dxa"/>
          </w:tcPr>
          <w:p>
            <w:pPr>
              <w:spacing w:line="360" w:lineRule="auto"/>
              <w:jc w:val="center"/>
              <w:rPr>
                <w:rFonts w:asciiTheme="minorEastAsia" w:hAnsiTheme="minorEastAsia"/>
                <w:sz w:val="24"/>
                <w:szCs w:val="24"/>
              </w:rPr>
            </w:pPr>
            <w:r>
              <w:rPr>
                <w:rFonts w:hint="eastAsia" w:asciiTheme="minorEastAsia" w:hAnsiTheme="minorEastAsia"/>
                <w:sz w:val="24"/>
                <w:szCs w:val="24"/>
              </w:rPr>
              <w:t>自然科学组</w:t>
            </w:r>
          </w:p>
        </w:tc>
        <w:tc>
          <w:tcPr>
            <w:tcW w:w="1420" w:type="dxa"/>
          </w:tcPr>
          <w:p>
            <w:pPr>
              <w:spacing w:line="360" w:lineRule="auto"/>
              <w:jc w:val="center"/>
              <w:rPr>
                <w:rFonts w:asciiTheme="minorEastAsia" w:hAnsiTheme="minorEastAsia"/>
                <w:sz w:val="24"/>
                <w:szCs w:val="24"/>
              </w:rPr>
            </w:pPr>
            <w:r>
              <w:rPr>
                <w:rFonts w:hint="eastAsia" w:asciiTheme="minorEastAsia" w:hAnsiTheme="minorEastAsia"/>
                <w:sz w:val="24"/>
                <w:szCs w:val="24"/>
              </w:rPr>
              <w:t>优秀奖</w:t>
            </w:r>
          </w:p>
        </w:tc>
        <w:tc>
          <w:tcPr>
            <w:tcW w:w="1420" w:type="dxa"/>
          </w:tcPr>
          <w:p>
            <w:pPr>
              <w:spacing w:line="360" w:lineRule="auto"/>
              <w:jc w:val="center"/>
              <w:rPr>
                <w:rFonts w:asciiTheme="minorEastAsia" w:hAnsiTheme="minorEastAsia"/>
                <w:sz w:val="24"/>
                <w:szCs w:val="24"/>
              </w:rPr>
            </w:pPr>
            <w:r>
              <w:rPr>
                <w:rFonts w:hint="eastAsia" w:asciiTheme="minorEastAsia" w:hAnsiTheme="minorEastAsia"/>
                <w:sz w:val="24"/>
                <w:szCs w:val="24"/>
              </w:rPr>
              <w:t>2022年</w:t>
            </w:r>
          </w:p>
        </w:tc>
      </w:tr>
    </w:tbl>
    <w:p>
      <w:pPr>
        <w:spacing w:line="360" w:lineRule="auto"/>
      </w:pPr>
      <w:r>
        <w:rPr>
          <w:rFonts w:hint="eastAsia"/>
        </w:rPr>
        <w:drawing>
          <wp:inline distT="0" distB="0" distL="114300" distR="114300">
            <wp:extent cx="2540635" cy="1666875"/>
            <wp:effectExtent l="9525" t="9525" r="15240" b="12700"/>
            <wp:docPr id="50" name="图片 50" descr="71fbb21f6cdf8ed0266773510197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71fbb21f6cdf8ed0266773510197975"/>
                    <pic:cNvPicPr>
                      <a:picLocks noChangeAspect="1"/>
                    </pic:cNvPicPr>
                  </pic:nvPicPr>
                  <pic:blipFill>
                    <a:blip r:embed="rId22"/>
                    <a:stretch>
                      <a:fillRect/>
                    </a:stretch>
                  </pic:blipFill>
                  <pic:spPr>
                    <a:xfrm>
                      <a:off x="0" y="0"/>
                      <a:ext cx="2542540" cy="1666875"/>
                    </a:xfrm>
                    <a:prstGeom prst="rect">
                      <a:avLst/>
                    </a:prstGeom>
                    <a:ln>
                      <a:solidFill>
                        <a:schemeClr val="bg1">
                          <a:lumMod val="50000"/>
                        </a:schemeClr>
                      </a:solidFill>
                    </a:ln>
                  </pic:spPr>
                </pic:pic>
              </a:graphicData>
            </a:graphic>
          </wp:inline>
        </w:drawing>
      </w:r>
      <w:r>
        <w:rPr>
          <w:rFonts w:hint="eastAsia"/>
        </w:rPr>
        <w:t xml:space="preserve">  </w:t>
      </w:r>
      <w:r>
        <w:rPr>
          <w:rFonts w:hint="eastAsia"/>
        </w:rPr>
        <w:drawing>
          <wp:inline distT="0" distB="0" distL="114300" distR="114300">
            <wp:extent cx="2501265" cy="1666875"/>
            <wp:effectExtent l="9525" t="9525" r="16510" b="12700"/>
            <wp:docPr id="47" name="图片 47" descr="2c2d9266aca05fc840e3addd55071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2c2d9266aca05fc840e3addd55071fd"/>
                    <pic:cNvPicPr>
                      <a:picLocks noChangeAspect="1"/>
                    </pic:cNvPicPr>
                  </pic:nvPicPr>
                  <pic:blipFill>
                    <a:blip r:embed="rId23"/>
                    <a:stretch>
                      <a:fillRect/>
                    </a:stretch>
                  </pic:blipFill>
                  <pic:spPr>
                    <a:xfrm>
                      <a:off x="0" y="0"/>
                      <a:ext cx="2503170" cy="1666875"/>
                    </a:xfrm>
                    <a:prstGeom prst="rect">
                      <a:avLst/>
                    </a:prstGeom>
                    <a:ln>
                      <a:solidFill>
                        <a:schemeClr val="bg1">
                          <a:lumMod val="50000"/>
                        </a:schemeClr>
                      </a:solidFill>
                    </a:ln>
                  </pic:spPr>
                </pic:pic>
              </a:graphicData>
            </a:graphic>
          </wp:inline>
        </w:drawing>
      </w:r>
    </w:p>
    <w:p>
      <w:pPr>
        <w:spacing w:line="360" w:lineRule="auto"/>
      </w:pPr>
      <w:r>
        <w:rPr>
          <w:rFonts w:hint="eastAsia"/>
        </w:rPr>
        <w:drawing>
          <wp:inline distT="0" distB="0" distL="114300" distR="114300">
            <wp:extent cx="2542540" cy="1714500"/>
            <wp:effectExtent l="9525" t="9525" r="13335" b="15875"/>
            <wp:docPr id="45" name="图片 45" descr="1.牛晓琴：二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牛晓琴：二等奖"/>
                    <pic:cNvPicPr>
                      <a:picLocks noChangeAspect="1"/>
                    </pic:cNvPicPr>
                  </pic:nvPicPr>
                  <pic:blipFill>
                    <a:blip r:embed="rId24"/>
                    <a:stretch>
                      <a:fillRect/>
                    </a:stretch>
                  </pic:blipFill>
                  <pic:spPr>
                    <a:xfrm>
                      <a:off x="0" y="0"/>
                      <a:ext cx="2541270" cy="1714500"/>
                    </a:xfrm>
                    <a:prstGeom prst="rect">
                      <a:avLst/>
                    </a:prstGeom>
                    <a:ln>
                      <a:solidFill>
                        <a:schemeClr val="bg1">
                          <a:lumMod val="50000"/>
                        </a:schemeClr>
                      </a:solidFill>
                    </a:ln>
                  </pic:spPr>
                </pic:pic>
              </a:graphicData>
            </a:graphic>
          </wp:inline>
        </w:drawing>
      </w:r>
      <w:r>
        <w:rPr>
          <w:rFonts w:hint="eastAsia"/>
        </w:rPr>
        <w:t xml:space="preserve">  </w:t>
      </w:r>
      <w:r>
        <w:rPr>
          <w:rFonts w:hint="eastAsia"/>
        </w:rPr>
        <w:drawing>
          <wp:inline distT="0" distB="0" distL="114300" distR="114300">
            <wp:extent cx="2495550" cy="1724025"/>
            <wp:effectExtent l="9525" t="9525" r="9525" b="19050"/>
            <wp:docPr id="48" name="图片 48" descr="9c026c62177b20440def196ff94a9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9c026c62177b20440def196ff94a93d"/>
                    <pic:cNvPicPr>
                      <a:picLocks noChangeAspect="1"/>
                    </pic:cNvPicPr>
                  </pic:nvPicPr>
                  <pic:blipFill>
                    <a:blip r:embed="rId25"/>
                    <a:stretch>
                      <a:fillRect/>
                    </a:stretch>
                  </pic:blipFill>
                  <pic:spPr>
                    <a:xfrm>
                      <a:off x="0" y="0"/>
                      <a:ext cx="2495550" cy="1725780"/>
                    </a:xfrm>
                    <a:prstGeom prst="rect">
                      <a:avLst/>
                    </a:prstGeom>
                    <a:ln>
                      <a:solidFill>
                        <a:schemeClr val="bg1">
                          <a:lumMod val="50000"/>
                        </a:schemeClr>
                      </a:solidFill>
                    </a:ln>
                  </pic:spPr>
                </pic:pic>
              </a:graphicData>
            </a:graphic>
          </wp:inline>
        </w:drawing>
      </w:r>
    </w:p>
    <w:p>
      <w:pPr>
        <w:spacing w:line="360" w:lineRule="auto"/>
      </w:pPr>
      <w:r>
        <w:rPr>
          <w:rFonts w:hint="eastAsia"/>
        </w:rPr>
        <w:drawing>
          <wp:inline distT="0" distB="0" distL="114300" distR="114300">
            <wp:extent cx="2533650" cy="1647825"/>
            <wp:effectExtent l="9525" t="9525" r="9525" b="19050"/>
            <wp:docPr id="44" name="图片 44" descr="三等奖（靳苗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三等奖（靳苗苗）"/>
                    <pic:cNvPicPr>
                      <a:picLocks noChangeAspect="1"/>
                    </pic:cNvPicPr>
                  </pic:nvPicPr>
                  <pic:blipFill>
                    <a:blip r:embed="rId26"/>
                    <a:stretch>
                      <a:fillRect/>
                    </a:stretch>
                  </pic:blipFill>
                  <pic:spPr>
                    <a:xfrm>
                      <a:off x="0" y="0"/>
                      <a:ext cx="2535555" cy="1647825"/>
                    </a:xfrm>
                    <a:prstGeom prst="rect">
                      <a:avLst/>
                    </a:prstGeom>
                    <a:ln>
                      <a:solidFill>
                        <a:schemeClr val="bg1">
                          <a:lumMod val="50000"/>
                        </a:schemeClr>
                      </a:solidFill>
                    </a:ln>
                  </pic:spPr>
                </pic:pic>
              </a:graphicData>
            </a:graphic>
          </wp:inline>
        </w:drawing>
      </w:r>
      <w:r>
        <w:rPr>
          <w:rFonts w:hint="eastAsia"/>
        </w:rPr>
        <w:t xml:space="preserve">  </w:t>
      </w:r>
      <w:r>
        <w:rPr>
          <w:rFonts w:hint="eastAsia"/>
        </w:rPr>
        <w:drawing>
          <wp:inline distT="0" distB="0" distL="114300" distR="114300">
            <wp:extent cx="1637030" cy="2486025"/>
            <wp:effectExtent l="9525" t="9525" r="19050" b="17145"/>
            <wp:docPr id="46" name="图片 46" descr="2.刘吉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刘吉波"/>
                    <pic:cNvPicPr>
                      <a:picLocks noChangeAspect="1"/>
                    </pic:cNvPicPr>
                  </pic:nvPicPr>
                  <pic:blipFill>
                    <a:blip r:embed="rId27"/>
                    <a:stretch>
                      <a:fillRect/>
                    </a:stretch>
                  </pic:blipFill>
                  <pic:spPr>
                    <a:xfrm rot="16200000">
                      <a:off x="0" y="0"/>
                      <a:ext cx="1638372" cy="2486025"/>
                    </a:xfrm>
                    <a:prstGeom prst="rect">
                      <a:avLst/>
                    </a:prstGeom>
                    <a:ln>
                      <a:solidFill>
                        <a:schemeClr val="bg1">
                          <a:lumMod val="50000"/>
                        </a:schemeClr>
                      </a:solidFill>
                    </a:ln>
                  </pic:spPr>
                </pic:pic>
              </a:graphicData>
            </a:graphic>
          </wp:inline>
        </w:drawing>
      </w:r>
    </w:p>
    <w:p>
      <w:pPr>
        <w:spacing w:line="360" w:lineRule="auto"/>
      </w:pPr>
      <w:r>
        <w:rPr>
          <w:rFonts w:hint="eastAsia"/>
        </w:rPr>
        <w:drawing>
          <wp:inline distT="0" distB="0" distL="114300" distR="114300">
            <wp:extent cx="2524125" cy="1714500"/>
            <wp:effectExtent l="9525" t="9525" r="19050" b="15875"/>
            <wp:docPr id="49" name="图片 49" descr="9fb025b567e61b7a18f8ea08c4707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9fb025b567e61b7a18f8ea08c4707b9"/>
                    <pic:cNvPicPr>
                      <a:picLocks noChangeAspect="1"/>
                    </pic:cNvPicPr>
                  </pic:nvPicPr>
                  <pic:blipFill>
                    <a:blip r:embed="rId28"/>
                    <a:stretch>
                      <a:fillRect/>
                    </a:stretch>
                  </pic:blipFill>
                  <pic:spPr>
                    <a:xfrm>
                      <a:off x="0" y="0"/>
                      <a:ext cx="2526030" cy="1714500"/>
                    </a:xfrm>
                    <a:prstGeom prst="rect">
                      <a:avLst/>
                    </a:prstGeom>
                    <a:ln>
                      <a:solidFill>
                        <a:schemeClr val="bg1">
                          <a:lumMod val="50000"/>
                        </a:schemeClr>
                      </a:solidFill>
                    </a:ln>
                  </pic:spPr>
                </pic:pic>
              </a:graphicData>
            </a:graphic>
          </wp:inline>
        </w:drawing>
      </w:r>
      <w:r>
        <w:rPr>
          <w:rFonts w:hint="eastAsia"/>
        </w:rPr>
        <w:t xml:space="preserve">   </w:t>
      </w:r>
      <w:r>
        <w:rPr>
          <w:rFonts w:hint="eastAsia"/>
        </w:rPr>
        <w:drawing>
          <wp:inline distT="0" distB="0" distL="114300" distR="114300">
            <wp:extent cx="2435225" cy="1695450"/>
            <wp:effectExtent l="9525" t="9525" r="19050" b="9525"/>
            <wp:docPr id="51" name="图片 51" descr="baa919546e636a7acca4f03e9c3ef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baa919546e636a7acca4f03e9c3ef06"/>
                    <pic:cNvPicPr>
                      <a:picLocks noChangeAspect="1"/>
                    </pic:cNvPicPr>
                  </pic:nvPicPr>
                  <pic:blipFill>
                    <a:blip r:embed="rId29"/>
                    <a:stretch>
                      <a:fillRect/>
                    </a:stretch>
                  </pic:blipFill>
                  <pic:spPr>
                    <a:xfrm>
                      <a:off x="0" y="0"/>
                      <a:ext cx="2435225" cy="1695450"/>
                    </a:xfrm>
                    <a:prstGeom prst="rect">
                      <a:avLst/>
                    </a:prstGeom>
                    <a:ln>
                      <a:solidFill>
                        <a:schemeClr val="bg1">
                          <a:lumMod val="50000"/>
                        </a:schemeClr>
                      </a:solidFill>
                    </a:ln>
                  </pic:spPr>
                </pic:pic>
              </a:graphicData>
            </a:graphic>
          </wp:inline>
        </w:drawing>
      </w:r>
    </w:p>
    <w:p>
      <w:pPr>
        <w:spacing w:line="360" w:lineRule="auto"/>
        <w:ind w:firstLine="548" w:firstLineChars="196"/>
        <w:rPr>
          <w:rFonts w:ascii="宋体" w:hAnsi="宋体" w:eastAsia="宋体" w:cs="宋体"/>
          <w:sz w:val="28"/>
          <w:szCs w:val="28"/>
        </w:rPr>
      </w:pPr>
      <w:r>
        <w:rPr>
          <w:rFonts w:hint="eastAsia" w:ascii="宋体" w:hAnsi="宋体" w:eastAsia="宋体" w:cs="宋体"/>
          <w:sz w:val="28"/>
          <w:szCs w:val="28"/>
        </w:rPr>
        <w:t>3.学院研学情况总结报告</w:t>
      </w:r>
    </w:p>
    <w:p>
      <w:pPr>
        <w:spacing w:line="360" w:lineRule="auto"/>
        <w:ind w:firstLine="560" w:firstLineChars="200"/>
        <w:jc w:val="left"/>
        <w:rPr>
          <w:rFonts w:ascii="宋体" w:hAnsi="宋体" w:eastAsia="宋体" w:cs="宋体"/>
          <w:sz w:val="28"/>
          <w:szCs w:val="28"/>
        </w:rPr>
      </w:pPr>
      <w:r>
        <w:rPr>
          <w:rFonts w:hint="eastAsia" w:ascii="宋体" w:hAnsi="宋体" w:eastAsia="宋体" w:cs="宋体"/>
          <w:sz w:val="28"/>
          <w:szCs w:val="28"/>
        </w:rPr>
        <w:t>为贯彻落实教育部《高等学校课程思政建设指导纲要》、市教卫工作党委、市教委《关于深入推进上海高校课程思政建设的实施意见》，全面推进我校课程思政建设，进一步提升学校教师的育德能力，提高人才培养质量，落实立德树人根本任务，学校举办课程思政领航计划负责人及骨干教师培训班。</w:t>
      </w:r>
    </w:p>
    <w:p>
      <w:pPr>
        <w:spacing w:line="360" w:lineRule="auto"/>
        <w:ind w:firstLine="560" w:firstLineChars="200"/>
        <w:jc w:val="left"/>
        <w:rPr>
          <w:rFonts w:ascii="宋体" w:hAnsi="宋体" w:eastAsia="宋体" w:cs="宋体"/>
          <w:sz w:val="28"/>
          <w:szCs w:val="28"/>
        </w:rPr>
      </w:pPr>
      <w:r>
        <w:rPr>
          <w:rFonts w:hint="eastAsia" w:ascii="宋体" w:hAnsi="宋体" w:eastAsia="宋体" w:cs="宋体"/>
          <w:sz w:val="28"/>
          <w:szCs w:val="28"/>
        </w:rPr>
        <w:t>根据学校课程思政建设整体推进方案和学校课程思政领航计划负责人及骨干教师培训方案，各领航学院及团队积极组织领航计划负责人及骨干教师参加集体研学，并开展个人自学，带动院内其余教师参与，多元施策将课程思政建设继续向纵深推进，现将各领航学院研学情况总结如下：</w:t>
      </w:r>
    </w:p>
    <w:p>
      <w:pPr>
        <w:spacing w:line="360" w:lineRule="auto"/>
        <w:ind w:firstLine="560" w:firstLineChars="200"/>
        <w:jc w:val="left"/>
        <w:rPr>
          <w:rFonts w:ascii="宋体" w:hAnsi="宋体" w:eastAsia="宋体" w:cs="宋体"/>
          <w:sz w:val="28"/>
          <w:szCs w:val="28"/>
        </w:rPr>
      </w:pPr>
      <w:r>
        <w:rPr>
          <w:rFonts w:hint="eastAsia" w:ascii="宋体" w:hAnsi="宋体" w:eastAsia="宋体" w:cs="宋体"/>
          <w:sz w:val="28"/>
          <w:szCs w:val="28"/>
        </w:rPr>
        <w:t>（1）党政齐抓，深入推进课程思政建设工作</w:t>
      </w:r>
    </w:p>
    <w:p>
      <w:pPr>
        <w:spacing w:line="360" w:lineRule="auto"/>
        <w:ind w:firstLine="560" w:firstLineChars="200"/>
        <w:jc w:val="left"/>
        <w:rPr>
          <w:rFonts w:ascii="宋体" w:hAnsi="宋体" w:eastAsia="宋体" w:cs="宋体"/>
          <w:sz w:val="28"/>
          <w:szCs w:val="28"/>
        </w:rPr>
      </w:pPr>
      <w:r>
        <w:rPr>
          <w:rFonts w:hint="eastAsia" w:ascii="宋体" w:hAnsi="宋体" w:eastAsia="宋体" w:cs="宋体"/>
          <w:sz w:val="28"/>
          <w:szCs w:val="28"/>
        </w:rPr>
        <w:t>各领航学院党政班子成员均非常重视课程思政建设工作，结合学院工作实际制定了详细的学院研学计划，在近三个月内逐步实施，并配合学校总体安排，逐步深入推进课程思政建设进度。各领航学院积极参加学校组织的专题讲座、校本经验分享交流活动，院内组织同行交流、教学设计和案例交流、辅导研讨等专项活动，所有领航课程完成课程思政教学案例编写。</w:t>
      </w:r>
    </w:p>
    <w:p>
      <w:pPr>
        <w:spacing w:line="360" w:lineRule="auto"/>
        <w:ind w:firstLine="560" w:firstLineChars="200"/>
        <w:jc w:val="left"/>
        <w:rPr>
          <w:rFonts w:ascii="宋体" w:hAnsi="宋体" w:eastAsia="宋体" w:cs="宋体"/>
          <w:sz w:val="28"/>
          <w:szCs w:val="28"/>
        </w:rPr>
      </w:pPr>
      <w:r>
        <w:rPr>
          <w:rFonts w:hint="eastAsia" w:ascii="宋体" w:hAnsi="宋体" w:eastAsia="宋体" w:cs="宋体"/>
          <w:sz w:val="28"/>
          <w:szCs w:val="28"/>
        </w:rPr>
        <w:t>（2）专题学习，着力提升教师的育德能力</w:t>
      </w:r>
    </w:p>
    <w:p>
      <w:pPr>
        <w:spacing w:line="360" w:lineRule="auto"/>
        <w:ind w:firstLine="560" w:firstLineChars="200"/>
        <w:jc w:val="left"/>
        <w:rPr>
          <w:rFonts w:ascii="宋体" w:hAnsi="宋体" w:eastAsia="宋体" w:cs="宋体"/>
          <w:sz w:val="28"/>
          <w:szCs w:val="28"/>
        </w:rPr>
      </w:pPr>
      <w:r>
        <w:rPr>
          <w:rFonts w:hint="eastAsia" w:ascii="宋体" w:hAnsi="宋体" w:eastAsia="宋体" w:cs="宋体"/>
          <w:sz w:val="28"/>
          <w:szCs w:val="28"/>
        </w:rPr>
        <w:t>组织教师专题学习、领会推进课程思政建设工作内涵，引导教师结合专业特点合理融入育德元素，将习近平新时代中国特色社会主义思想、社会主义核心价值观、中华优秀传统文化等融入课程，帮助专业课教师注重在日常教学活动中加强政治引领、厚植爱国情怀、强化价值引导，既有“惊涛拍岸”的气势，又有“润物细无声”的育人效果。</w:t>
      </w:r>
    </w:p>
    <w:p>
      <w:pPr>
        <w:spacing w:line="360" w:lineRule="auto"/>
        <w:ind w:firstLine="560" w:firstLineChars="200"/>
        <w:jc w:val="left"/>
        <w:rPr>
          <w:rFonts w:ascii="宋体" w:hAnsi="宋体" w:eastAsia="宋体" w:cs="宋体"/>
          <w:sz w:val="28"/>
          <w:szCs w:val="28"/>
        </w:rPr>
      </w:pPr>
      <w:r>
        <w:rPr>
          <w:rFonts w:hint="eastAsia" w:ascii="宋体" w:hAnsi="宋体" w:eastAsia="宋体" w:cs="宋体"/>
          <w:sz w:val="28"/>
          <w:szCs w:val="28"/>
        </w:rPr>
        <w:t>经管学院党委以“四史”学习教育深化课程思政工作内涵，积极推动学科建设、专业建设、三全育人、课程思政与“四史”学习的紧密融合。承办教师沙龙，先后邀请了上海市委党校周建勇教授主讲《中国共产党的发展历程与经验启示》、奉贤区委党校康平教授主讲《新中国站起来富起来强起来的深刻启示》、复旦大学经济学院党委书记陈诗一教授主讲《新中国经济发展史》等系列“四史”学习报告，学院结合自身学科及专业特色，将“四史”学习教育与教师专业素养及育德能力提升紧密结合。</w:t>
      </w:r>
    </w:p>
    <w:p>
      <w:pPr>
        <w:spacing w:line="360" w:lineRule="auto"/>
        <w:ind w:firstLine="560" w:firstLineChars="200"/>
        <w:jc w:val="left"/>
        <w:rPr>
          <w:rFonts w:ascii="宋体" w:hAnsi="宋体" w:eastAsia="宋体" w:cs="宋体"/>
          <w:sz w:val="28"/>
          <w:szCs w:val="28"/>
        </w:rPr>
      </w:pPr>
      <w:r>
        <w:rPr>
          <w:rFonts w:hint="eastAsia" w:ascii="宋体" w:hAnsi="宋体" w:eastAsia="宋体" w:cs="宋体"/>
          <w:sz w:val="28"/>
          <w:szCs w:val="28"/>
        </w:rPr>
        <w:t>城建学院召开课程思政领航学院工作推进会，马院苟小泉、张腾宇两位老师和全体领航课程负责人共同学习上级文件精神、交流研讨课程思政教学理念和教学实施中的探索和经验；将“四史”教育与“课程思政”有机结合，组织师生党员赴奉贤博物馆参观“追梦前行——共和国现代化之路”的展览，开展参观中共“四大”纪念馆主题党日活动，提高教师的育德能力；举办课程思政校内专家报告会，就课程思政教学中的实际问题进行讨论及辅导。</w:t>
      </w:r>
    </w:p>
    <w:p>
      <w:pPr>
        <w:spacing w:line="360" w:lineRule="auto"/>
        <w:ind w:firstLine="560" w:firstLineChars="200"/>
        <w:jc w:val="left"/>
        <w:rPr>
          <w:rFonts w:ascii="宋体" w:hAnsi="宋体" w:eastAsia="宋体" w:cs="宋体"/>
          <w:sz w:val="28"/>
          <w:szCs w:val="28"/>
        </w:rPr>
      </w:pPr>
      <w:r>
        <w:rPr>
          <w:rFonts w:hint="eastAsia" w:ascii="宋体" w:hAnsi="宋体" w:eastAsia="宋体" w:cs="宋体"/>
          <w:sz w:val="28"/>
          <w:szCs w:val="28"/>
        </w:rPr>
        <w:t>香料香精化妆品学部邀请了中共上海市委党校程曦敏老师为全体师生党员开展“四史”学习线上专题讲座，以“重温党的历史，践行初心使命”为主线，采取线上线下学习相结合的方式，全体师生党员积极开展学习讨论。学院举行“课程思政”建设交流会，马院周赟、胡剑慧应邀参加，与学部教师就“领航计划”建设和“课程思政”教学改革展开交流，多位老师分享了自己的课程实施体会，交流会拓宽了学部教师们“课程思政”建设的思路，有利于学部“课程思政”建设水平的进一步提升。</w:t>
      </w:r>
    </w:p>
    <w:p>
      <w:pPr>
        <w:spacing w:line="360" w:lineRule="auto"/>
        <w:ind w:firstLine="560" w:firstLineChars="200"/>
        <w:jc w:val="left"/>
        <w:rPr>
          <w:rFonts w:ascii="宋体" w:hAnsi="宋体" w:eastAsia="宋体" w:cs="宋体"/>
          <w:sz w:val="28"/>
          <w:szCs w:val="28"/>
        </w:rPr>
      </w:pPr>
      <w:r>
        <w:rPr>
          <w:rFonts w:hint="eastAsia" w:ascii="宋体" w:hAnsi="宋体" w:eastAsia="宋体" w:cs="宋体"/>
          <w:sz w:val="28"/>
          <w:szCs w:val="28"/>
        </w:rPr>
        <w:t>化工学院举办“凝炼学科文化，彰显课程特色”专业课课程思政实践经验讲座。复旦大学化学系教授、博士生导师、校教学指导委员会自然科学分委会委员王全瑞教授受邀进行课程思政示范讲座。王教授针对如何在专业知识的讲解中，巧妙融入课程思政元素从而达到潜移默化的育人效果，深入浅出举例讲解，让在场每位老师对围绕新时代如何培养人才有了更深的理解。组织学院内部研讨学习，明确了教师育德意识和能力提升对课程建设的引领作用。</w:t>
      </w:r>
    </w:p>
    <w:p>
      <w:pPr>
        <w:spacing w:line="360" w:lineRule="auto"/>
        <w:ind w:firstLine="560" w:firstLineChars="200"/>
        <w:jc w:val="left"/>
        <w:rPr>
          <w:rFonts w:ascii="宋体" w:hAnsi="宋体" w:eastAsia="宋体" w:cs="宋体"/>
          <w:sz w:val="28"/>
          <w:szCs w:val="28"/>
        </w:rPr>
      </w:pPr>
      <w:r>
        <w:rPr>
          <w:rFonts w:hint="eastAsia" w:ascii="宋体" w:hAnsi="宋体" w:eastAsia="宋体" w:cs="宋体"/>
          <w:sz w:val="28"/>
          <w:szCs w:val="28"/>
        </w:rPr>
        <w:t>材料学院开展专题讲座，邀请校督导陈建斌教授为新进教师讲授教学规范的同时贯彻课程思政理念，明确培养什么人，为谁培养人的育人方针。在新进教师培训中纳入课程思政要素，邀请上海市讲课比赛一等奖刘敏老师做经验介绍，强化课程思政育人元素。</w:t>
      </w:r>
    </w:p>
    <w:p>
      <w:pPr>
        <w:spacing w:line="360" w:lineRule="auto"/>
        <w:ind w:firstLine="560" w:firstLineChars="200"/>
        <w:jc w:val="left"/>
        <w:rPr>
          <w:rFonts w:ascii="宋体" w:hAnsi="宋体" w:eastAsia="宋体" w:cs="宋体"/>
          <w:sz w:val="28"/>
          <w:szCs w:val="28"/>
        </w:rPr>
      </w:pPr>
      <w:r>
        <w:rPr>
          <w:rFonts w:hint="eastAsia" w:ascii="宋体" w:hAnsi="宋体" w:eastAsia="宋体" w:cs="宋体"/>
          <w:sz w:val="28"/>
          <w:szCs w:val="28"/>
        </w:rPr>
        <w:t>生态学院以“一份总结、一个标杆、一个案例、一批典型、一次整合”为链条，深入推进课程思政建设进程。</w:t>
      </w:r>
    </w:p>
    <w:p>
      <w:pPr>
        <w:spacing w:line="360" w:lineRule="auto"/>
        <w:ind w:firstLine="560" w:firstLineChars="200"/>
        <w:jc w:val="left"/>
        <w:rPr>
          <w:rFonts w:ascii="宋体" w:hAnsi="宋体" w:eastAsia="宋体" w:cs="宋体"/>
          <w:sz w:val="28"/>
          <w:szCs w:val="28"/>
        </w:rPr>
      </w:pPr>
      <w:r>
        <w:rPr>
          <w:rFonts w:hint="eastAsia" w:ascii="宋体" w:hAnsi="宋体" w:eastAsia="宋体" w:cs="宋体"/>
          <w:sz w:val="28"/>
          <w:szCs w:val="28"/>
        </w:rPr>
        <w:t>学院调研了2个上海市相关标杆专业的课程思政（复旦包存宽团队、同济王云才团队），拟邀请了华东师范大学姜晓东教授（水生生物学，国家级线上线下混合课程一流本科课程 ）、同济大学王云才教授（风景园林课程思政从上到下的整体设计）来校指导，两位专家从“金课”建设和团队建设进行宣讲和指导，以期切实提高教师的育德能力。</w:t>
      </w:r>
    </w:p>
    <w:p>
      <w:pPr>
        <w:spacing w:line="360" w:lineRule="auto"/>
        <w:ind w:firstLine="560" w:firstLineChars="200"/>
        <w:jc w:val="left"/>
        <w:rPr>
          <w:rFonts w:ascii="宋体" w:hAnsi="宋体" w:eastAsia="宋体" w:cs="宋体"/>
          <w:sz w:val="28"/>
          <w:szCs w:val="28"/>
        </w:rPr>
      </w:pPr>
      <w:r>
        <w:rPr>
          <w:rFonts w:hint="eastAsia" w:ascii="宋体" w:hAnsi="宋体" w:eastAsia="宋体" w:cs="宋体"/>
          <w:sz w:val="28"/>
          <w:szCs w:val="28"/>
        </w:rPr>
        <w:t>机械学院承办了校第22期教师沙龙暨面向智能制造的研究生课程思政建设研讨会。中共上海市委党校应急管理培训中心执行主任董幼鸿教授，上海师范大学影视传媒学院影传系专业负责人王元副教授，上海应用技术大学马克思主义学院梁志平教授等应邀出席并作报告。各位专家与学院“智能制造”领航团队一起，梳理现有实践、探索育人路径、总结出一系列利于推进实施全员育人、全过程育人、全课程育人的一流研究生教育的好经验、好做法，为快速推进研究生课程思政教育教学改革进阶升级添砖加瓦。</w:t>
      </w:r>
    </w:p>
    <w:p>
      <w:pPr>
        <w:spacing w:line="360" w:lineRule="auto"/>
        <w:ind w:firstLine="560" w:firstLineChars="200"/>
        <w:jc w:val="left"/>
        <w:rPr>
          <w:rFonts w:ascii="宋体" w:hAnsi="宋体" w:eastAsia="宋体" w:cs="宋体"/>
          <w:sz w:val="28"/>
          <w:szCs w:val="28"/>
        </w:rPr>
      </w:pPr>
      <w:r>
        <w:rPr>
          <w:rFonts w:hint="eastAsia" w:ascii="宋体" w:hAnsi="宋体" w:eastAsia="宋体" w:cs="宋体"/>
          <w:sz w:val="28"/>
          <w:szCs w:val="28"/>
        </w:rPr>
        <w:t>（3）以领航团队为主体，以领航课程建设为抓手，推进学院课程思政建设工作落地落实</w:t>
      </w:r>
    </w:p>
    <w:p>
      <w:pPr>
        <w:spacing w:line="360" w:lineRule="auto"/>
        <w:ind w:firstLine="560" w:firstLineChars="200"/>
        <w:jc w:val="left"/>
        <w:rPr>
          <w:rFonts w:ascii="宋体" w:hAnsi="宋体" w:eastAsia="宋体" w:cs="宋体"/>
          <w:sz w:val="28"/>
          <w:szCs w:val="28"/>
        </w:rPr>
      </w:pPr>
      <w:r>
        <w:rPr>
          <w:rFonts w:hint="eastAsia" w:ascii="宋体" w:hAnsi="宋体" w:eastAsia="宋体" w:cs="宋体"/>
          <w:sz w:val="28"/>
          <w:szCs w:val="28"/>
        </w:rPr>
        <w:t>生态学院以“一个案例”鼓励和指导教师开展教学设计，完成一个课程思政精彩案例，以“一批典型”在基础课程、专业基础课程、专业课程、实践课程围绕应用型人才培养推广一些典型做法和课程，精彩案例已经遴选出来，在全院大会上交流；应用型人才培养中的实践环节计划分课程中实践环节、课程设计等校内实践、企业岗位实习等校外实践、参观体验为主的认识实习、毕业论文（设计）五类，下一步每一类进行推进 （目前前四类已有较好的案例）。</w:t>
      </w:r>
    </w:p>
    <w:p>
      <w:pPr>
        <w:spacing w:line="360" w:lineRule="auto"/>
        <w:ind w:firstLine="560" w:firstLineChars="200"/>
        <w:jc w:val="left"/>
        <w:rPr>
          <w:rFonts w:ascii="宋体" w:hAnsi="宋体" w:eastAsia="宋体" w:cs="宋体"/>
          <w:sz w:val="28"/>
          <w:szCs w:val="28"/>
        </w:rPr>
      </w:pPr>
      <w:r>
        <w:rPr>
          <w:rFonts w:hint="eastAsia" w:ascii="宋体" w:hAnsi="宋体" w:eastAsia="宋体" w:cs="宋体"/>
          <w:sz w:val="28"/>
          <w:szCs w:val="28"/>
        </w:rPr>
        <w:t>经管学院围绕AACSB国际商学院认证的相关标准，对各专业的人才培养方案及课程大纲进行修订完善，对于具有经管专业特色的课堂教学设计和经典教学案例编写工作做了部署，力求突显经管专业课程思政的特色和亮点，目前学院17门领航课程已经完成了教学案例的编写工作。学院先后邀请了上海海事大学经管学院院长刘斌教授、华东理工大学管理学院院长阎海峰教授开展AACSB国际精英商学院认证辅导。</w:t>
      </w:r>
    </w:p>
    <w:p>
      <w:pPr>
        <w:spacing w:line="360" w:lineRule="auto"/>
        <w:ind w:firstLine="560" w:firstLineChars="200"/>
        <w:jc w:val="left"/>
        <w:rPr>
          <w:rFonts w:ascii="宋体" w:hAnsi="宋体" w:eastAsia="宋体" w:cs="宋体"/>
          <w:sz w:val="28"/>
          <w:szCs w:val="28"/>
        </w:rPr>
      </w:pPr>
      <w:r>
        <w:rPr>
          <w:rFonts w:hint="eastAsia" w:ascii="宋体" w:hAnsi="宋体" w:eastAsia="宋体" w:cs="宋体"/>
          <w:sz w:val="28"/>
          <w:szCs w:val="28"/>
        </w:rPr>
        <w:t>城建学院各系（教研室）在每学期制定教研活动计划时，将课程思政教育教学改革纳入教研室活动计划，并定期开展公开观摩课、经验交流会、外出考察、集体备课等多种形式的活动，各专业从学生求知需求出发，遵循学生成长规律，立足人才培养目标和学科优势，进行系统设计，明确其在课程思政建设中的具体责任，确保将各专业各门课程“同向同行、协同育人”的理念和举措真正落到实处。</w:t>
      </w:r>
    </w:p>
    <w:p>
      <w:pPr>
        <w:spacing w:line="360" w:lineRule="auto"/>
        <w:ind w:firstLine="560" w:firstLineChars="200"/>
        <w:jc w:val="left"/>
        <w:rPr>
          <w:rFonts w:ascii="宋体" w:hAnsi="宋体" w:eastAsia="宋体" w:cs="宋体"/>
          <w:sz w:val="28"/>
          <w:szCs w:val="28"/>
        </w:rPr>
      </w:pPr>
      <w:r>
        <w:rPr>
          <w:rFonts w:hint="eastAsia" w:ascii="宋体" w:hAnsi="宋体" w:eastAsia="宋体" w:cs="宋体"/>
          <w:sz w:val="28"/>
          <w:szCs w:val="28"/>
        </w:rPr>
        <w:t>材料学院形成了由党委书记陈勇牵头，学院教学和学工条线分抓落实的课程思政推进模式，初步在组织管理、教师培训、教研制度和考核激励制度等方面做了一些探索。如在新进教师培训中纳入课程思政要素，邀请上海市讲课比赛一等奖刘敏老师做经验介绍，强化课程思政育人元素。</w:t>
      </w:r>
    </w:p>
    <w:p>
      <w:pPr>
        <w:spacing w:line="360" w:lineRule="auto"/>
        <w:ind w:firstLine="560" w:firstLineChars="200"/>
        <w:jc w:val="left"/>
        <w:rPr>
          <w:rFonts w:ascii="宋体" w:hAnsi="宋体" w:eastAsia="宋体" w:cs="宋体"/>
          <w:sz w:val="28"/>
          <w:szCs w:val="28"/>
        </w:rPr>
      </w:pPr>
      <w:r>
        <w:rPr>
          <w:rFonts w:hint="eastAsia" w:ascii="宋体" w:hAnsi="宋体" w:eastAsia="宋体" w:cs="宋体"/>
          <w:sz w:val="28"/>
          <w:szCs w:val="28"/>
        </w:rPr>
        <w:t>化工学院一是参加高校课程思政研讨会，绿色化工思政领航团队成员吴晶晶、俞俊、陈桂娥、郑义等教师利用暑假空余时间，参加了中国高等教育培训中心举办的高校课程思政“金课”建设暨教师育德能力提升研讨会。二是学院研学，7月10日，化工学院第二教工党支部根据《绿色化工》课程思政团队建设需要，组织了一次特别的课程思政组织活动。10月22日，学院举办“凝炼学科文化，彰显课程特色”专业课课程思政实践经验讲座。</w:t>
      </w:r>
    </w:p>
    <w:p>
      <w:pPr>
        <w:spacing w:line="360" w:lineRule="auto"/>
        <w:ind w:firstLine="560" w:firstLineChars="200"/>
        <w:jc w:val="left"/>
        <w:rPr>
          <w:rFonts w:ascii="宋体" w:hAnsi="宋体" w:eastAsia="宋体" w:cs="宋体"/>
          <w:sz w:val="28"/>
          <w:szCs w:val="28"/>
        </w:rPr>
      </w:pPr>
      <w:r>
        <w:rPr>
          <w:rFonts w:hint="eastAsia" w:ascii="宋体" w:hAnsi="宋体" w:eastAsia="宋体" w:cs="宋体"/>
          <w:sz w:val="28"/>
          <w:szCs w:val="28"/>
        </w:rPr>
        <w:t>香料香精化妆品学部课程思政推动大会（线上线下相结合），要求全体教师利用假期时间选择一门课程进行思政课程建设，撰写蕴含思政元素的教学大纲和典型案例，9月开学后有11老师提交了案例。</w:t>
      </w:r>
    </w:p>
    <w:p>
      <w:pPr>
        <w:spacing w:line="360" w:lineRule="auto"/>
        <w:ind w:firstLine="560" w:firstLineChars="200"/>
        <w:jc w:val="left"/>
        <w:rPr>
          <w:rFonts w:ascii="宋体" w:hAnsi="宋体" w:eastAsia="宋体" w:cs="宋体"/>
          <w:sz w:val="28"/>
          <w:szCs w:val="28"/>
        </w:rPr>
      </w:pPr>
      <w:r>
        <w:rPr>
          <w:rFonts w:hint="eastAsia" w:ascii="宋体" w:hAnsi="宋体" w:eastAsia="宋体" w:cs="宋体"/>
          <w:sz w:val="28"/>
          <w:szCs w:val="28"/>
        </w:rPr>
        <w:t>9月，学部举行2020年“课程思政”建设交流会，学部副主任牛云蔚、国际化妆品学院执行院长张婉萍、食品系副主任周一鸣和生物工程专业教师李茜茜分别围绕《食用香精工艺学》《化妆品工艺学》《食品安全与品质控制》和《酶工程》等课程的推进作了专题汇报。交流会拓宽了学部教师们“课程思政”建设的思路，有利于学部“课程思政”建设水平的进一步提升。</w:t>
      </w:r>
    </w:p>
    <w:p>
      <w:pPr>
        <w:spacing w:line="360" w:lineRule="auto"/>
        <w:ind w:firstLine="560" w:firstLineChars="200"/>
        <w:jc w:val="left"/>
        <w:rPr>
          <w:rFonts w:ascii="宋体" w:hAnsi="宋体" w:eastAsia="宋体" w:cs="宋体"/>
          <w:sz w:val="28"/>
          <w:szCs w:val="28"/>
        </w:rPr>
      </w:pPr>
      <w:r>
        <w:rPr>
          <w:rFonts w:hint="eastAsia" w:ascii="宋体" w:hAnsi="宋体" w:eastAsia="宋体" w:cs="宋体"/>
          <w:sz w:val="28"/>
          <w:szCs w:val="28"/>
        </w:rPr>
        <w:t>机械学院一是完善学院课程思政教学资源。根据学科特点和教师实际需要，学院采购近100种、约300册相关图书，为专业教师学习、探索课程思政内容的设计和实践提供了丰富的知识理论支撑和案例借鉴。二是修订机械工程一级学科全日制学术型硕士研究生培养方案。在培养方案中，优化课程立德树人培养目标，并将其落实到课程目标设计、教学大纲修订、教材编审选用、教案课件编写各方面，贯穿于课堂授课、教学研讨、科研实验等各个环节中，为课程思政建设工作在研究生培养全过程中的有力推进提供了制度保障。</w:t>
      </w:r>
    </w:p>
    <w:p>
      <w:pPr>
        <w:spacing w:line="360" w:lineRule="auto"/>
        <w:ind w:firstLine="562" w:firstLineChars="200"/>
        <w:rPr>
          <w:rFonts w:ascii="宋体" w:hAnsi="宋体" w:eastAsia="宋体" w:cs="宋体"/>
          <w:b/>
          <w:bCs/>
          <w:sz w:val="28"/>
          <w:szCs w:val="28"/>
        </w:rPr>
      </w:pPr>
    </w:p>
    <w:p>
      <w:pPr>
        <w:spacing w:line="360" w:lineRule="auto"/>
        <w:ind w:firstLine="562" w:firstLineChars="200"/>
        <w:rPr>
          <w:rFonts w:ascii="宋体" w:hAnsi="宋体" w:eastAsia="宋体" w:cs="宋体"/>
          <w:b/>
          <w:bCs/>
          <w:sz w:val="28"/>
          <w:szCs w:val="28"/>
        </w:rPr>
      </w:pPr>
    </w:p>
    <w:p>
      <w:pPr>
        <w:widowControl/>
        <w:jc w:val="left"/>
        <w:rPr>
          <w:rFonts w:ascii="宋体" w:hAnsi="宋体" w:eastAsia="宋体" w:cs="宋体"/>
          <w:b/>
          <w:bCs/>
          <w:sz w:val="28"/>
          <w:szCs w:val="28"/>
        </w:rPr>
      </w:pPr>
      <w:r>
        <w:rPr>
          <w:rFonts w:ascii="宋体" w:hAnsi="宋体" w:eastAsia="宋体" w:cs="宋体"/>
          <w:b/>
          <w:bCs/>
          <w:sz w:val="28"/>
          <w:szCs w:val="28"/>
        </w:rPr>
        <w:br w:type="page"/>
      </w:r>
    </w:p>
    <w:p>
      <w:pPr>
        <w:pStyle w:val="2"/>
        <w:spacing w:line="360" w:lineRule="auto"/>
        <w:jc w:val="center"/>
        <w:rPr>
          <w:sz w:val="36"/>
          <w:szCs w:val="36"/>
        </w:rPr>
      </w:pPr>
      <w:bookmarkStart w:id="15" w:name="_Toc131671179"/>
      <w:r>
        <w:rPr>
          <w:rFonts w:hint="eastAsia"/>
          <w:sz w:val="36"/>
          <w:szCs w:val="36"/>
        </w:rPr>
        <w:t>三、质量保障工程</w:t>
      </w:r>
      <w:bookmarkEnd w:id="15"/>
    </w:p>
    <w:p>
      <w:pPr>
        <w:pStyle w:val="2"/>
        <w:spacing w:before="0" w:after="0" w:line="360" w:lineRule="auto"/>
        <w:ind w:firstLine="602" w:firstLineChars="200"/>
        <w:jc w:val="left"/>
        <w:rPr>
          <w:rFonts w:asciiTheme="minorEastAsia" w:hAnsiTheme="minorEastAsia"/>
          <w:sz w:val="30"/>
          <w:szCs w:val="30"/>
        </w:rPr>
      </w:pPr>
      <w:bookmarkStart w:id="16" w:name="_Toc131671180"/>
      <w:r>
        <w:rPr>
          <w:rFonts w:hint="eastAsia" w:asciiTheme="minorEastAsia" w:hAnsiTheme="minorEastAsia"/>
          <w:sz w:val="30"/>
          <w:szCs w:val="30"/>
        </w:rPr>
        <w:t>（一）路径设计——基于OBE理念 实施课程思政建设</w:t>
      </w:r>
      <w:bookmarkEnd w:id="16"/>
    </w:p>
    <w:p>
      <w:pPr>
        <w:pStyle w:val="29"/>
        <w:widowControl/>
        <w:spacing w:line="360" w:lineRule="auto"/>
        <w:ind w:firstLine="560" w:firstLineChars="200"/>
        <w:rPr>
          <w:rFonts w:hint="default" w:cs="宋体"/>
          <w:sz w:val="28"/>
          <w:szCs w:val="28"/>
        </w:rPr>
      </w:pPr>
      <w:r>
        <w:rPr>
          <w:rFonts w:cs="宋体"/>
          <w:sz w:val="28"/>
          <w:szCs w:val="28"/>
        </w:rPr>
        <w:t>OBE（Outcomes-based Education，基于学习产出的教育模式）作为当今各国教育改革的主流理念，其实质是由学习产出来驱动整个教学过程。基于OBE理念，课程思政不是即兴、随意或外在要求的教学活动，应以学生在思想水平、政治觉悟、道德品质、文化素养等方面所应获得的成果为依据进行精心设计。OBE理念下的课程思政在实施过程中必须明确回答以下四个方面的问题：第一，本专业的学生需要具备哪些思想政治素质；第二，这些思想政治素质对他今后的发展具有怎样的重要性；第三，如何通过课程思政让学生具备这些素质；第四，如何知道和确保学生已经获得了这些素质。这四个问题构成了课程思政教学评价的基本框架和关键环节，其核心是确保课程育人目标的达成。</w:t>
      </w:r>
    </w:p>
    <w:p>
      <w:pPr>
        <w:spacing w:line="360" w:lineRule="auto"/>
        <w:ind w:firstLine="559" w:firstLineChars="199"/>
        <w:rPr>
          <w:rFonts w:ascii="宋体" w:hAnsi="宋体" w:cs="宋体"/>
          <w:b/>
          <w:sz w:val="28"/>
          <w:szCs w:val="28"/>
        </w:rPr>
      </w:pPr>
      <w:r>
        <w:rPr>
          <w:rFonts w:hint="eastAsia" w:ascii="宋体" w:hAnsi="宋体" w:eastAsia="宋体" w:cs="宋体"/>
          <w:b/>
          <w:sz w:val="28"/>
          <w:szCs w:val="28"/>
        </w:rPr>
        <w:t>1.课程思政</w:t>
      </w:r>
      <w:r>
        <w:rPr>
          <w:rFonts w:hint="eastAsia" w:ascii="宋体" w:hAnsi="宋体" w:cs="宋体"/>
          <w:b/>
          <w:sz w:val="28"/>
          <w:szCs w:val="28"/>
        </w:rPr>
        <w:t>的三重</w:t>
      </w:r>
      <w:r>
        <w:rPr>
          <w:rFonts w:hint="eastAsia" w:ascii="宋体" w:hAnsi="宋体" w:eastAsia="宋体" w:cs="宋体"/>
          <w:b/>
          <w:sz w:val="28"/>
          <w:szCs w:val="28"/>
        </w:rPr>
        <w:t>建构</w:t>
      </w:r>
    </w:p>
    <w:p>
      <w:pPr>
        <w:spacing w:line="360" w:lineRule="auto"/>
        <w:ind w:firstLine="560" w:firstLineChars="200"/>
        <w:rPr>
          <w:rFonts w:ascii="宋体" w:hAnsi="宋体" w:cs="宋体"/>
          <w:sz w:val="28"/>
          <w:szCs w:val="28"/>
        </w:rPr>
      </w:pPr>
      <w:r>
        <w:rPr>
          <w:rFonts w:hint="eastAsia" w:ascii="宋体" w:hAnsi="宋体" w:eastAsia="宋体" w:cs="宋体"/>
          <w:sz w:val="28"/>
          <w:szCs w:val="28"/>
        </w:rPr>
        <w:t>课程思政作为一个已经被广泛认同和接受的专业话语，首先体现在教育目的或意图的层面，反映了高校对“培养什么人”的理想人格的思考和描述。其次，课程思政还需要与高校具体的学科专业建立联系，立足学科知识体系为课程思政提供具体境脉和育人资源。此外，课程思政还必须在课堂教学层面得到落实，通过“如何培养人”的层级体系落实“培养什么人”的预期目标。</w:t>
      </w:r>
      <w:r>
        <w:rPr>
          <w:rFonts w:hint="eastAsia" w:ascii="宋体" w:hAnsi="宋体" w:cs="宋体"/>
          <w:sz w:val="28"/>
          <w:szCs w:val="28"/>
        </w:rPr>
        <w:t>由此可见，课程思政存在于学校、专业和课程三个层次的建构之中。（表3-1）</w:t>
      </w:r>
    </w:p>
    <w:p>
      <w:pPr>
        <w:spacing w:line="360" w:lineRule="auto"/>
        <w:ind w:firstLine="420"/>
        <w:rPr>
          <w:rFonts w:ascii="宋体" w:hAnsi="宋体" w:cs="宋体"/>
          <w:sz w:val="28"/>
          <w:szCs w:val="28"/>
        </w:rPr>
      </w:pPr>
    </w:p>
    <w:p>
      <w:pPr>
        <w:spacing w:line="360" w:lineRule="auto"/>
        <w:ind w:firstLine="420"/>
        <w:rPr>
          <w:rFonts w:ascii="宋体" w:hAnsi="宋体" w:cs="宋体"/>
          <w:sz w:val="28"/>
          <w:szCs w:val="28"/>
        </w:rPr>
      </w:pPr>
    </w:p>
    <w:p>
      <w:pPr>
        <w:spacing w:line="360" w:lineRule="auto"/>
        <w:jc w:val="center"/>
        <w:rPr>
          <w:rFonts w:asciiTheme="minorEastAsia" w:hAnsiTheme="minorEastAsia"/>
          <w:sz w:val="24"/>
        </w:rPr>
      </w:pPr>
      <w:r>
        <w:rPr>
          <w:rFonts w:hint="eastAsia" w:asciiTheme="minorEastAsia" w:hAnsiTheme="minorEastAsia"/>
          <w:sz w:val="24"/>
          <w:szCs w:val="24"/>
        </w:rPr>
        <w:t>表3-1  课程思政</w:t>
      </w:r>
      <w:r>
        <w:rPr>
          <w:rFonts w:asciiTheme="minorEastAsia" w:hAnsiTheme="minorEastAsia"/>
          <w:sz w:val="24"/>
          <w:szCs w:val="24"/>
        </w:rPr>
        <w:t>的</w:t>
      </w:r>
      <w:r>
        <w:rPr>
          <w:rFonts w:hint="eastAsia" w:asciiTheme="minorEastAsia" w:hAnsiTheme="minorEastAsia"/>
          <w:sz w:val="24"/>
          <w:szCs w:val="24"/>
        </w:rPr>
        <w:t>3个层次</w:t>
      </w:r>
      <w:r>
        <w:rPr>
          <w:rFonts w:asciiTheme="minorEastAsia" w:hAnsiTheme="minorEastAsia"/>
          <w:sz w:val="24"/>
          <w:szCs w:val="24"/>
        </w:rPr>
        <w:t>及其主要任务</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418"/>
        <w:gridCol w:w="1559"/>
        <w:gridCol w:w="1559"/>
        <w:gridCol w:w="1560"/>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242" w:type="dxa"/>
            <w:vMerge w:val="restart"/>
            <w:vAlign w:val="center"/>
          </w:tcPr>
          <w:p>
            <w:pPr>
              <w:spacing w:line="360" w:lineRule="auto"/>
              <w:jc w:val="center"/>
              <w:rPr>
                <w:rFonts w:eastAsia="宋体" w:cs="Times New Roman" w:asciiTheme="minorEastAsia" w:hAnsiTheme="minorEastAsia"/>
                <w:kern w:val="0"/>
                <w:sz w:val="24"/>
                <w:szCs w:val="20"/>
              </w:rPr>
            </w:pPr>
            <w:r>
              <w:rPr>
                <w:rFonts w:hint="eastAsia" w:eastAsia="宋体" w:cs="Times New Roman" w:asciiTheme="minorEastAsia" w:hAnsiTheme="minorEastAsia"/>
                <w:kern w:val="0"/>
                <w:sz w:val="24"/>
                <w:szCs w:val="24"/>
              </w:rPr>
              <w:t>3个</w:t>
            </w:r>
            <w:r>
              <w:rPr>
                <w:rFonts w:eastAsia="宋体" w:cs="Times New Roman" w:asciiTheme="minorEastAsia" w:hAnsiTheme="minorEastAsia"/>
                <w:kern w:val="0"/>
                <w:sz w:val="24"/>
                <w:szCs w:val="24"/>
              </w:rPr>
              <w:t>层次</w:t>
            </w:r>
          </w:p>
        </w:tc>
        <w:tc>
          <w:tcPr>
            <w:tcW w:w="6096" w:type="dxa"/>
            <w:gridSpan w:val="4"/>
            <w:vAlign w:val="center"/>
          </w:tcPr>
          <w:p>
            <w:pPr>
              <w:spacing w:line="360" w:lineRule="auto"/>
              <w:jc w:val="center"/>
              <w:rPr>
                <w:rFonts w:eastAsia="宋体" w:cs="Times New Roman" w:asciiTheme="minorEastAsia" w:hAnsiTheme="minorEastAsia"/>
                <w:kern w:val="0"/>
                <w:sz w:val="24"/>
                <w:szCs w:val="20"/>
              </w:rPr>
            </w:pPr>
            <w:r>
              <w:rPr>
                <w:rFonts w:hint="eastAsia" w:eastAsia="宋体" w:cs="Times New Roman" w:asciiTheme="minorEastAsia" w:hAnsiTheme="minorEastAsia"/>
                <w:kern w:val="0"/>
                <w:sz w:val="24"/>
                <w:szCs w:val="24"/>
              </w:rPr>
              <w:t>主要任务</w:t>
            </w:r>
          </w:p>
        </w:tc>
        <w:tc>
          <w:tcPr>
            <w:tcW w:w="1184" w:type="dxa"/>
            <w:vMerge w:val="restart"/>
            <w:vAlign w:val="center"/>
          </w:tcPr>
          <w:p>
            <w:pPr>
              <w:spacing w:line="360" w:lineRule="auto"/>
              <w:jc w:val="center"/>
              <w:rPr>
                <w:rFonts w:eastAsia="宋体" w:cs="Times New Roman" w:asciiTheme="minorEastAsia" w:hAnsiTheme="minorEastAsia"/>
                <w:kern w:val="0"/>
                <w:sz w:val="24"/>
                <w:szCs w:val="20"/>
              </w:rPr>
            </w:pPr>
            <w:r>
              <w:rPr>
                <w:rFonts w:hint="eastAsia" w:eastAsia="宋体" w:cs="Times New Roman" w:asciiTheme="minorEastAsia" w:hAnsiTheme="minorEastAsia"/>
                <w:kern w:val="0"/>
                <w:sz w:val="24"/>
                <w:szCs w:val="24"/>
              </w:rPr>
              <w:t>实施主体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242" w:type="dxa"/>
            <w:vMerge w:val="continue"/>
            <w:vAlign w:val="center"/>
          </w:tcPr>
          <w:p>
            <w:pPr>
              <w:spacing w:line="360" w:lineRule="auto"/>
              <w:jc w:val="center"/>
              <w:rPr>
                <w:rFonts w:eastAsia="宋体" w:cs="Times New Roman" w:asciiTheme="minorEastAsia" w:hAnsiTheme="minorEastAsia"/>
                <w:kern w:val="0"/>
                <w:sz w:val="24"/>
                <w:szCs w:val="20"/>
              </w:rPr>
            </w:pPr>
          </w:p>
        </w:tc>
        <w:tc>
          <w:tcPr>
            <w:tcW w:w="1418" w:type="dxa"/>
            <w:vAlign w:val="center"/>
          </w:tcPr>
          <w:p>
            <w:pPr>
              <w:spacing w:line="360" w:lineRule="auto"/>
              <w:jc w:val="center"/>
              <w:rPr>
                <w:rFonts w:eastAsia="宋体" w:cs="Times New Roman" w:asciiTheme="minorEastAsia" w:hAnsiTheme="minorEastAsia"/>
                <w:kern w:val="0"/>
                <w:sz w:val="24"/>
                <w:szCs w:val="20"/>
              </w:rPr>
            </w:pPr>
            <w:r>
              <w:rPr>
                <w:rFonts w:hint="eastAsia" w:eastAsia="宋体" w:cs="Times New Roman" w:asciiTheme="minorEastAsia" w:hAnsiTheme="minorEastAsia"/>
                <w:kern w:val="0"/>
                <w:sz w:val="24"/>
                <w:szCs w:val="24"/>
              </w:rPr>
              <w:t>确定教育目标</w:t>
            </w:r>
          </w:p>
        </w:tc>
        <w:tc>
          <w:tcPr>
            <w:tcW w:w="1559" w:type="dxa"/>
            <w:vAlign w:val="center"/>
          </w:tcPr>
          <w:p>
            <w:pPr>
              <w:spacing w:line="360" w:lineRule="auto"/>
              <w:jc w:val="center"/>
              <w:rPr>
                <w:rFonts w:eastAsia="宋体" w:cs="Times New Roman" w:asciiTheme="minorEastAsia" w:hAnsiTheme="minorEastAsia"/>
                <w:kern w:val="0"/>
                <w:sz w:val="24"/>
                <w:szCs w:val="20"/>
              </w:rPr>
            </w:pPr>
            <w:r>
              <w:rPr>
                <w:rFonts w:hint="eastAsia" w:eastAsia="宋体" w:cs="Times New Roman" w:asciiTheme="minorEastAsia" w:hAnsiTheme="minorEastAsia"/>
                <w:kern w:val="0"/>
                <w:sz w:val="24"/>
                <w:szCs w:val="24"/>
              </w:rPr>
              <w:t>选择和</w:t>
            </w:r>
            <w:r>
              <w:rPr>
                <w:rFonts w:eastAsia="宋体" w:cs="Times New Roman" w:asciiTheme="minorEastAsia" w:hAnsiTheme="minorEastAsia"/>
                <w:kern w:val="0"/>
                <w:sz w:val="24"/>
                <w:szCs w:val="24"/>
              </w:rPr>
              <w:t>组织学习经验</w:t>
            </w:r>
          </w:p>
        </w:tc>
        <w:tc>
          <w:tcPr>
            <w:tcW w:w="1559" w:type="dxa"/>
            <w:vAlign w:val="center"/>
          </w:tcPr>
          <w:p>
            <w:pPr>
              <w:spacing w:line="360" w:lineRule="auto"/>
              <w:jc w:val="center"/>
              <w:rPr>
                <w:rFonts w:eastAsia="宋体" w:cs="Times New Roman" w:asciiTheme="minorEastAsia" w:hAnsiTheme="minorEastAsia"/>
                <w:kern w:val="0"/>
                <w:sz w:val="24"/>
                <w:szCs w:val="20"/>
              </w:rPr>
            </w:pPr>
            <w:r>
              <w:rPr>
                <w:rFonts w:eastAsia="宋体" w:cs="Times New Roman" w:asciiTheme="minorEastAsia" w:hAnsiTheme="minorEastAsia"/>
                <w:kern w:val="0"/>
                <w:sz w:val="24"/>
                <w:szCs w:val="24"/>
              </w:rPr>
              <w:t>实施</w:t>
            </w:r>
            <w:r>
              <w:rPr>
                <w:rFonts w:hint="eastAsia" w:eastAsia="宋体" w:cs="Times New Roman" w:asciiTheme="minorEastAsia" w:hAnsiTheme="minorEastAsia"/>
                <w:kern w:val="0"/>
                <w:sz w:val="24"/>
                <w:szCs w:val="24"/>
              </w:rPr>
              <w:t>课程方案</w:t>
            </w:r>
          </w:p>
        </w:tc>
        <w:tc>
          <w:tcPr>
            <w:tcW w:w="1560" w:type="dxa"/>
            <w:vAlign w:val="center"/>
          </w:tcPr>
          <w:p>
            <w:pPr>
              <w:spacing w:line="360" w:lineRule="auto"/>
              <w:jc w:val="center"/>
              <w:rPr>
                <w:rFonts w:eastAsia="宋体" w:cs="Times New Roman" w:asciiTheme="minorEastAsia" w:hAnsiTheme="minorEastAsia"/>
                <w:kern w:val="0"/>
                <w:sz w:val="24"/>
                <w:szCs w:val="20"/>
              </w:rPr>
            </w:pPr>
            <w:r>
              <w:rPr>
                <w:rFonts w:hint="eastAsia" w:eastAsia="宋体" w:cs="Times New Roman" w:asciiTheme="minorEastAsia" w:hAnsiTheme="minorEastAsia"/>
                <w:kern w:val="0"/>
                <w:sz w:val="24"/>
                <w:szCs w:val="24"/>
              </w:rPr>
              <w:t>评价教育计划</w:t>
            </w:r>
          </w:p>
        </w:tc>
        <w:tc>
          <w:tcPr>
            <w:tcW w:w="1184" w:type="dxa"/>
            <w:vMerge w:val="continue"/>
            <w:vAlign w:val="center"/>
          </w:tcPr>
          <w:p>
            <w:pPr>
              <w:spacing w:line="360" w:lineRule="auto"/>
              <w:jc w:val="center"/>
              <w:rPr>
                <w:rFonts w:eastAsia="宋体" w:cs="Times New Roman" w:asciiTheme="minorEastAsia" w:hAnsiTheme="minorEastAsia"/>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spacing w:line="360" w:lineRule="auto"/>
              <w:rPr>
                <w:rFonts w:eastAsia="宋体" w:cs="Times New Roman" w:asciiTheme="minorEastAsia" w:hAnsiTheme="minorEastAsia"/>
                <w:kern w:val="0"/>
                <w:sz w:val="24"/>
                <w:szCs w:val="20"/>
              </w:rPr>
            </w:pPr>
            <w:r>
              <w:rPr>
                <w:rFonts w:hint="eastAsia" w:eastAsia="宋体" w:cs="Times New Roman" w:asciiTheme="minorEastAsia" w:hAnsiTheme="minorEastAsia"/>
                <w:kern w:val="0"/>
                <w:sz w:val="24"/>
                <w:szCs w:val="24"/>
              </w:rPr>
              <w:t>学校层次</w:t>
            </w:r>
          </w:p>
        </w:tc>
        <w:tc>
          <w:tcPr>
            <w:tcW w:w="1418" w:type="dxa"/>
            <w:vAlign w:val="center"/>
          </w:tcPr>
          <w:p>
            <w:pPr>
              <w:spacing w:line="360" w:lineRule="auto"/>
              <w:rPr>
                <w:rFonts w:eastAsia="宋体" w:cs="Times New Roman" w:asciiTheme="minorEastAsia" w:hAnsiTheme="minorEastAsia"/>
                <w:kern w:val="0"/>
                <w:sz w:val="24"/>
                <w:szCs w:val="20"/>
              </w:rPr>
            </w:pPr>
            <w:r>
              <w:rPr>
                <w:rFonts w:hint="eastAsia" w:eastAsia="宋体" w:cs="Times New Roman" w:asciiTheme="minorEastAsia" w:hAnsiTheme="minorEastAsia"/>
                <w:kern w:val="0"/>
                <w:sz w:val="24"/>
                <w:szCs w:val="24"/>
              </w:rPr>
              <w:t>学校总体</w:t>
            </w:r>
            <w:r>
              <w:rPr>
                <w:rFonts w:eastAsia="宋体" w:cs="Times New Roman" w:asciiTheme="minorEastAsia" w:hAnsiTheme="minorEastAsia"/>
                <w:kern w:val="0"/>
                <w:sz w:val="24"/>
                <w:szCs w:val="24"/>
              </w:rPr>
              <w:t>办学定位和人才培养定位</w:t>
            </w:r>
          </w:p>
        </w:tc>
        <w:tc>
          <w:tcPr>
            <w:tcW w:w="1559" w:type="dxa"/>
            <w:vAlign w:val="center"/>
          </w:tcPr>
          <w:p>
            <w:pPr>
              <w:spacing w:line="360" w:lineRule="auto"/>
              <w:rPr>
                <w:rFonts w:eastAsia="宋体" w:cs="Times New Roman" w:asciiTheme="minorEastAsia" w:hAnsiTheme="minorEastAsia"/>
                <w:kern w:val="0"/>
                <w:sz w:val="24"/>
                <w:szCs w:val="20"/>
              </w:rPr>
            </w:pPr>
            <w:r>
              <w:rPr>
                <w:rFonts w:eastAsia="宋体" w:cs="Times New Roman" w:asciiTheme="minorEastAsia" w:hAnsiTheme="minorEastAsia"/>
                <w:kern w:val="0"/>
                <w:sz w:val="24"/>
                <w:szCs w:val="24"/>
              </w:rPr>
              <w:t>课程</w:t>
            </w:r>
            <w:r>
              <w:rPr>
                <w:rFonts w:hint="eastAsia" w:eastAsia="宋体" w:cs="Times New Roman" w:asciiTheme="minorEastAsia" w:hAnsiTheme="minorEastAsia"/>
                <w:kern w:val="0"/>
                <w:sz w:val="24"/>
                <w:szCs w:val="24"/>
              </w:rPr>
              <w:t>整体</w:t>
            </w:r>
            <w:r>
              <w:rPr>
                <w:rFonts w:eastAsia="宋体" w:cs="Times New Roman" w:asciiTheme="minorEastAsia" w:hAnsiTheme="minorEastAsia"/>
                <w:kern w:val="0"/>
                <w:sz w:val="24"/>
                <w:szCs w:val="24"/>
              </w:rPr>
              <w:t>规划</w:t>
            </w:r>
          </w:p>
        </w:tc>
        <w:tc>
          <w:tcPr>
            <w:tcW w:w="1559" w:type="dxa"/>
            <w:vAlign w:val="center"/>
          </w:tcPr>
          <w:p>
            <w:pPr>
              <w:spacing w:line="360" w:lineRule="auto"/>
              <w:rPr>
                <w:rFonts w:eastAsia="宋体" w:cs="Times New Roman" w:asciiTheme="minorEastAsia" w:hAnsiTheme="minorEastAsia"/>
                <w:kern w:val="0"/>
                <w:sz w:val="24"/>
                <w:szCs w:val="20"/>
              </w:rPr>
            </w:pPr>
            <w:r>
              <w:rPr>
                <w:rFonts w:hint="eastAsia" w:eastAsia="宋体" w:cs="Times New Roman" w:asciiTheme="minorEastAsia" w:hAnsiTheme="minorEastAsia"/>
                <w:kern w:val="0"/>
                <w:sz w:val="24"/>
                <w:szCs w:val="24"/>
              </w:rPr>
              <w:t>出台</w:t>
            </w:r>
            <w:r>
              <w:rPr>
                <w:rFonts w:eastAsia="宋体" w:cs="Times New Roman" w:asciiTheme="minorEastAsia" w:hAnsiTheme="minorEastAsia"/>
                <w:kern w:val="0"/>
                <w:sz w:val="24"/>
                <w:szCs w:val="24"/>
              </w:rPr>
              <w:t>课程</w:t>
            </w:r>
            <w:r>
              <w:rPr>
                <w:rFonts w:hint="eastAsia" w:eastAsia="宋体" w:cs="Times New Roman" w:asciiTheme="minorEastAsia" w:hAnsiTheme="minorEastAsia"/>
                <w:kern w:val="0"/>
                <w:sz w:val="24"/>
                <w:szCs w:val="24"/>
              </w:rPr>
              <w:t>文件、</w:t>
            </w:r>
            <w:r>
              <w:rPr>
                <w:rFonts w:eastAsia="宋体" w:cs="Times New Roman" w:asciiTheme="minorEastAsia" w:hAnsiTheme="minorEastAsia"/>
                <w:kern w:val="0"/>
                <w:sz w:val="24"/>
                <w:szCs w:val="24"/>
              </w:rPr>
              <w:t>政策、指导意见等</w:t>
            </w:r>
          </w:p>
        </w:tc>
        <w:tc>
          <w:tcPr>
            <w:tcW w:w="1560" w:type="dxa"/>
            <w:vAlign w:val="center"/>
          </w:tcPr>
          <w:p>
            <w:pPr>
              <w:spacing w:line="360" w:lineRule="auto"/>
              <w:rPr>
                <w:rFonts w:eastAsia="宋体" w:cs="Times New Roman" w:asciiTheme="minorEastAsia" w:hAnsiTheme="minorEastAsia"/>
                <w:kern w:val="0"/>
                <w:sz w:val="24"/>
                <w:szCs w:val="20"/>
              </w:rPr>
            </w:pPr>
            <w:r>
              <w:rPr>
                <w:rFonts w:hint="eastAsia" w:eastAsia="宋体" w:cs="Times New Roman" w:asciiTheme="minorEastAsia" w:hAnsiTheme="minorEastAsia"/>
                <w:kern w:val="0"/>
                <w:sz w:val="24"/>
                <w:szCs w:val="24"/>
              </w:rPr>
              <w:t>教学</w:t>
            </w:r>
            <w:r>
              <w:rPr>
                <w:rFonts w:eastAsia="宋体" w:cs="Times New Roman" w:asciiTheme="minorEastAsia" w:hAnsiTheme="minorEastAsia"/>
                <w:kern w:val="0"/>
                <w:sz w:val="24"/>
                <w:szCs w:val="24"/>
              </w:rPr>
              <w:t>工作评估、</w:t>
            </w:r>
            <w:r>
              <w:rPr>
                <w:rFonts w:hint="eastAsia" w:eastAsia="宋体" w:cs="Times New Roman" w:asciiTheme="minorEastAsia" w:hAnsiTheme="minorEastAsia"/>
                <w:kern w:val="0"/>
                <w:sz w:val="24"/>
                <w:szCs w:val="24"/>
              </w:rPr>
              <w:t>外部</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第三方</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评价等</w:t>
            </w:r>
          </w:p>
        </w:tc>
        <w:tc>
          <w:tcPr>
            <w:tcW w:w="1184" w:type="dxa"/>
            <w:vAlign w:val="center"/>
          </w:tcPr>
          <w:p>
            <w:pPr>
              <w:spacing w:line="360" w:lineRule="auto"/>
              <w:rPr>
                <w:rFonts w:eastAsia="宋体" w:cs="Times New Roman" w:asciiTheme="minorEastAsia" w:hAnsiTheme="minorEastAsia"/>
                <w:kern w:val="0"/>
                <w:sz w:val="24"/>
                <w:szCs w:val="20"/>
              </w:rPr>
            </w:pPr>
            <w:r>
              <w:rPr>
                <w:rFonts w:hint="eastAsia" w:eastAsia="宋体" w:cs="Times New Roman" w:asciiTheme="minorEastAsia" w:hAnsiTheme="minorEastAsia"/>
                <w:kern w:val="0"/>
                <w:sz w:val="24"/>
                <w:szCs w:val="24"/>
              </w:rPr>
              <w:t>教务处、学术</w:t>
            </w:r>
            <w:r>
              <w:rPr>
                <w:rFonts w:eastAsia="宋体" w:cs="Times New Roman" w:asciiTheme="minorEastAsia" w:hAnsiTheme="minorEastAsia"/>
                <w:kern w:val="0"/>
                <w:sz w:val="24"/>
                <w:szCs w:val="24"/>
              </w:rPr>
              <w:t>委员会等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spacing w:line="360" w:lineRule="auto"/>
              <w:rPr>
                <w:rFonts w:eastAsia="宋体" w:cs="Times New Roman" w:asciiTheme="minorEastAsia" w:hAnsiTheme="minorEastAsia"/>
                <w:kern w:val="0"/>
                <w:sz w:val="24"/>
                <w:szCs w:val="20"/>
              </w:rPr>
            </w:pPr>
            <w:r>
              <w:rPr>
                <w:rFonts w:hint="eastAsia" w:eastAsia="宋体" w:cs="Times New Roman" w:asciiTheme="minorEastAsia" w:hAnsiTheme="minorEastAsia"/>
                <w:kern w:val="0"/>
                <w:sz w:val="24"/>
                <w:szCs w:val="24"/>
              </w:rPr>
              <w:t>专业层次</w:t>
            </w:r>
          </w:p>
        </w:tc>
        <w:tc>
          <w:tcPr>
            <w:tcW w:w="1418" w:type="dxa"/>
            <w:vAlign w:val="center"/>
          </w:tcPr>
          <w:p>
            <w:pPr>
              <w:spacing w:line="360" w:lineRule="auto"/>
              <w:rPr>
                <w:rFonts w:eastAsia="宋体" w:cs="Times New Roman" w:asciiTheme="minorEastAsia" w:hAnsiTheme="minorEastAsia"/>
                <w:kern w:val="0"/>
                <w:sz w:val="24"/>
                <w:szCs w:val="20"/>
              </w:rPr>
            </w:pPr>
            <w:r>
              <w:rPr>
                <w:rFonts w:hint="eastAsia" w:eastAsia="宋体" w:cs="Times New Roman" w:asciiTheme="minorEastAsia" w:hAnsiTheme="minorEastAsia"/>
                <w:kern w:val="0"/>
                <w:sz w:val="24"/>
                <w:szCs w:val="24"/>
              </w:rPr>
              <w:t>专业培养目标</w:t>
            </w:r>
            <w:r>
              <w:rPr>
                <w:rFonts w:eastAsia="宋体" w:cs="Times New Roman" w:asciiTheme="minorEastAsia" w:hAnsiTheme="minorEastAsia"/>
                <w:kern w:val="0"/>
                <w:sz w:val="24"/>
                <w:szCs w:val="24"/>
              </w:rPr>
              <w:t>、毕业要求（</w:t>
            </w:r>
            <w:r>
              <w:rPr>
                <w:rFonts w:hint="eastAsia" w:eastAsia="宋体" w:cs="Times New Roman" w:asciiTheme="minorEastAsia" w:hAnsiTheme="minorEastAsia"/>
                <w:kern w:val="0"/>
                <w:sz w:val="24"/>
                <w:szCs w:val="24"/>
              </w:rPr>
              <w:t>或称</w:t>
            </w:r>
            <w:r>
              <w:rPr>
                <w:rFonts w:eastAsia="宋体" w:cs="Times New Roman" w:asciiTheme="minorEastAsia" w:hAnsiTheme="minorEastAsia"/>
                <w:kern w:val="0"/>
                <w:sz w:val="24"/>
                <w:szCs w:val="24"/>
              </w:rPr>
              <w:t>培养规格）</w:t>
            </w:r>
          </w:p>
        </w:tc>
        <w:tc>
          <w:tcPr>
            <w:tcW w:w="1559" w:type="dxa"/>
            <w:vAlign w:val="center"/>
          </w:tcPr>
          <w:p>
            <w:pPr>
              <w:spacing w:line="360" w:lineRule="auto"/>
              <w:rPr>
                <w:rFonts w:eastAsia="宋体" w:cs="Times New Roman" w:asciiTheme="minorEastAsia" w:hAnsiTheme="minorEastAsia"/>
                <w:kern w:val="0"/>
                <w:sz w:val="24"/>
                <w:szCs w:val="20"/>
              </w:rPr>
            </w:pPr>
            <w:r>
              <w:rPr>
                <w:rFonts w:hint="eastAsia" w:eastAsia="宋体" w:cs="Times New Roman" w:asciiTheme="minorEastAsia" w:hAnsiTheme="minorEastAsia"/>
                <w:kern w:val="0"/>
                <w:sz w:val="24"/>
                <w:szCs w:val="24"/>
              </w:rPr>
              <w:t>设置专业课程体系</w:t>
            </w:r>
          </w:p>
        </w:tc>
        <w:tc>
          <w:tcPr>
            <w:tcW w:w="1559" w:type="dxa"/>
            <w:vAlign w:val="center"/>
          </w:tcPr>
          <w:p>
            <w:pPr>
              <w:spacing w:line="360" w:lineRule="auto"/>
              <w:rPr>
                <w:rFonts w:eastAsia="宋体" w:cs="Times New Roman" w:asciiTheme="minorEastAsia" w:hAnsiTheme="minorEastAsia"/>
                <w:kern w:val="0"/>
                <w:sz w:val="24"/>
                <w:szCs w:val="20"/>
              </w:rPr>
            </w:pPr>
            <w:r>
              <w:rPr>
                <w:rFonts w:hint="eastAsia" w:eastAsia="宋体" w:cs="Times New Roman" w:asciiTheme="minorEastAsia" w:hAnsiTheme="minorEastAsia"/>
                <w:kern w:val="0"/>
                <w:sz w:val="24"/>
                <w:szCs w:val="24"/>
              </w:rPr>
              <w:t>执行</w:t>
            </w:r>
            <w:r>
              <w:rPr>
                <w:rFonts w:eastAsia="宋体" w:cs="Times New Roman" w:asciiTheme="minorEastAsia" w:hAnsiTheme="minorEastAsia"/>
                <w:kern w:val="0"/>
                <w:sz w:val="24"/>
                <w:szCs w:val="24"/>
              </w:rPr>
              <w:t>专业人才培养方案</w:t>
            </w:r>
          </w:p>
        </w:tc>
        <w:tc>
          <w:tcPr>
            <w:tcW w:w="1560" w:type="dxa"/>
            <w:vAlign w:val="center"/>
          </w:tcPr>
          <w:p>
            <w:pPr>
              <w:spacing w:line="360" w:lineRule="auto"/>
              <w:rPr>
                <w:rFonts w:eastAsia="宋体" w:cs="Times New Roman" w:asciiTheme="minorEastAsia" w:hAnsiTheme="minorEastAsia"/>
                <w:kern w:val="0"/>
                <w:sz w:val="24"/>
                <w:szCs w:val="20"/>
              </w:rPr>
            </w:pPr>
            <w:r>
              <w:rPr>
                <w:rFonts w:hint="eastAsia" w:eastAsia="宋体" w:cs="Times New Roman" w:asciiTheme="minorEastAsia" w:hAnsiTheme="minorEastAsia"/>
                <w:kern w:val="0"/>
                <w:sz w:val="24"/>
                <w:szCs w:val="24"/>
              </w:rPr>
              <w:t>专业认证</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评估</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w:t>
            </w:r>
            <w:r>
              <w:rPr>
                <w:rFonts w:eastAsia="宋体" w:cs="Times New Roman" w:asciiTheme="minorEastAsia" w:hAnsiTheme="minorEastAsia"/>
                <w:kern w:val="0"/>
                <w:sz w:val="24"/>
                <w:szCs w:val="24"/>
              </w:rPr>
              <w:t>毕业生或用人单位评价等。</w:t>
            </w:r>
          </w:p>
        </w:tc>
        <w:tc>
          <w:tcPr>
            <w:tcW w:w="1184" w:type="dxa"/>
            <w:vAlign w:val="center"/>
          </w:tcPr>
          <w:p>
            <w:pPr>
              <w:spacing w:line="360" w:lineRule="auto"/>
              <w:rPr>
                <w:rFonts w:eastAsia="宋体" w:cs="Times New Roman" w:asciiTheme="minorEastAsia" w:hAnsiTheme="minorEastAsia"/>
                <w:kern w:val="0"/>
                <w:sz w:val="24"/>
                <w:szCs w:val="20"/>
              </w:rPr>
            </w:pPr>
            <w:r>
              <w:rPr>
                <w:rFonts w:hint="eastAsia" w:eastAsia="宋体" w:cs="Times New Roman" w:asciiTheme="minorEastAsia" w:hAnsiTheme="minorEastAsia"/>
                <w:kern w:val="0"/>
                <w:sz w:val="24"/>
                <w:szCs w:val="24"/>
              </w:rPr>
              <w:t>二级学院</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教研室</w:t>
            </w:r>
            <w:r>
              <w:rPr>
                <w:rFonts w:eastAsia="宋体" w:cs="Times New Roman" w:asciiTheme="minorEastAsia" w:hAnsiTheme="minorEastAsia"/>
                <w:kern w:val="0"/>
                <w:sz w:val="24"/>
                <w:szCs w:val="24"/>
              </w:rPr>
              <w:t>、专业</w:t>
            </w:r>
            <w:r>
              <w:rPr>
                <w:rFonts w:hint="eastAsia" w:eastAsia="宋体" w:cs="Times New Roman" w:asciiTheme="minorEastAsia" w:hAnsiTheme="minorEastAsia"/>
                <w:kern w:val="0"/>
                <w:sz w:val="24"/>
                <w:szCs w:val="24"/>
              </w:rPr>
              <w:t>负责人</w:t>
            </w:r>
            <w:r>
              <w:rPr>
                <w:rFonts w:eastAsia="宋体" w:cs="Times New Roman" w:asciiTheme="minorEastAsia" w:hAnsiTheme="minorEastAsia"/>
                <w:kern w:val="0"/>
                <w:sz w:val="24"/>
                <w:szCs w:val="24"/>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spacing w:line="360" w:lineRule="auto"/>
              <w:rPr>
                <w:rFonts w:eastAsia="宋体" w:cs="Times New Roman" w:asciiTheme="minorEastAsia" w:hAnsiTheme="minorEastAsia"/>
                <w:kern w:val="0"/>
                <w:sz w:val="24"/>
                <w:szCs w:val="20"/>
              </w:rPr>
            </w:pPr>
            <w:r>
              <w:rPr>
                <w:rFonts w:hint="eastAsia" w:eastAsia="宋体" w:cs="Times New Roman" w:asciiTheme="minorEastAsia" w:hAnsiTheme="minorEastAsia"/>
                <w:kern w:val="0"/>
                <w:sz w:val="24"/>
                <w:szCs w:val="24"/>
              </w:rPr>
              <w:t>单一</w:t>
            </w:r>
            <w:r>
              <w:rPr>
                <w:rFonts w:eastAsia="宋体" w:cs="Times New Roman" w:asciiTheme="minorEastAsia" w:hAnsiTheme="minorEastAsia"/>
                <w:kern w:val="0"/>
                <w:sz w:val="24"/>
                <w:szCs w:val="24"/>
              </w:rPr>
              <w:t>课程</w:t>
            </w:r>
            <w:r>
              <w:rPr>
                <w:rFonts w:hint="eastAsia" w:eastAsia="宋体" w:cs="Times New Roman" w:asciiTheme="minorEastAsia" w:hAnsiTheme="minorEastAsia"/>
                <w:kern w:val="0"/>
                <w:sz w:val="24"/>
                <w:szCs w:val="24"/>
              </w:rPr>
              <w:t>层次</w:t>
            </w:r>
          </w:p>
        </w:tc>
        <w:tc>
          <w:tcPr>
            <w:tcW w:w="1418" w:type="dxa"/>
            <w:vAlign w:val="center"/>
          </w:tcPr>
          <w:p>
            <w:pPr>
              <w:spacing w:line="360" w:lineRule="auto"/>
              <w:rPr>
                <w:rFonts w:eastAsia="宋体" w:cs="Times New Roman" w:asciiTheme="minorEastAsia" w:hAnsiTheme="minorEastAsia"/>
                <w:kern w:val="0"/>
                <w:sz w:val="24"/>
                <w:szCs w:val="20"/>
              </w:rPr>
            </w:pPr>
            <w:r>
              <w:rPr>
                <w:rFonts w:hint="eastAsia" w:eastAsia="宋体" w:cs="Times New Roman" w:asciiTheme="minorEastAsia" w:hAnsiTheme="minorEastAsia"/>
                <w:kern w:val="0"/>
                <w:sz w:val="24"/>
                <w:szCs w:val="24"/>
              </w:rPr>
              <w:t>课程与</w:t>
            </w:r>
            <w:r>
              <w:rPr>
                <w:rFonts w:eastAsia="宋体" w:cs="Times New Roman" w:asciiTheme="minorEastAsia" w:hAnsiTheme="minorEastAsia"/>
                <w:kern w:val="0"/>
                <w:sz w:val="24"/>
                <w:szCs w:val="24"/>
              </w:rPr>
              <w:t>教学</w:t>
            </w:r>
            <w:r>
              <w:rPr>
                <w:rFonts w:hint="eastAsia" w:eastAsia="宋体" w:cs="Times New Roman" w:asciiTheme="minorEastAsia" w:hAnsiTheme="minorEastAsia"/>
                <w:kern w:val="0"/>
                <w:sz w:val="24"/>
                <w:szCs w:val="24"/>
              </w:rPr>
              <w:t>目标</w:t>
            </w:r>
          </w:p>
        </w:tc>
        <w:tc>
          <w:tcPr>
            <w:tcW w:w="1559" w:type="dxa"/>
            <w:vAlign w:val="center"/>
          </w:tcPr>
          <w:p>
            <w:pPr>
              <w:spacing w:line="360" w:lineRule="auto"/>
              <w:jc w:val="left"/>
              <w:rPr>
                <w:rFonts w:eastAsia="宋体" w:cs="Times New Roman" w:asciiTheme="minorEastAsia" w:hAnsiTheme="minorEastAsia"/>
                <w:kern w:val="0"/>
                <w:sz w:val="24"/>
                <w:szCs w:val="20"/>
              </w:rPr>
            </w:pPr>
            <w:r>
              <w:rPr>
                <w:rFonts w:hint="eastAsia" w:eastAsia="宋体" w:cs="Times New Roman" w:asciiTheme="minorEastAsia" w:hAnsiTheme="minorEastAsia"/>
                <w:kern w:val="0"/>
                <w:sz w:val="24"/>
                <w:szCs w:val="24"/>
              </w:rPr>
              <w:t>确定教学大纲</w:t>
            </w:r>
            <w:r>
              <w:rPr>
                <w:rFonts w:eastAsia="宋体" w:cs="Times New Roman" w:asciiTheme="minorEastAsia" w:hAnsiTheme="minorEastAsia"/>
                <w:kern w:val="0"/>
                <w:sz w:val="24"/>
                <w:szCs w:val="24"/>
              </w:rPr>
              <w:t>和教案，出版教材</w:t>
            </w:r>
          </w:p>
        </w:tc>
        <w:tc>
          <w:tcPr>
            <w:tcW w:w="1559" w:type="dxa"/>
            <w:vAlign w:val="center"/>
          </w:tcPr>
          <w:p>
            <w:pPr>
              <w:spacing w:line="360" w:lineRule="auto"/>
              <w:rPr>
                <w:rFonts w:eastAsia="宋体" w:cs="Times New Roman" w:asciiTheme="minorEastAsia" w:hAnsiTheme="minorEastAsia"/>
                <w:kern w:val="0"/>
                <w:sz w:val="24"/>
                <w:szCs w:val="20"/>
              </w:rPr>
            </w:pPr>
            <w:r>
              <w:rPr>
                <w:rFonts w:hint="eastAsia" w:eastAsia="宋体" w:cs="Times New Roman" w:asciiTheme="minorEastAsia" w:hAnsiTheme="minorEastAsia"/>
                <w:kern w:val="0"/>
                <w:sz w:val="24"/>
                <w:szCs w:val="24"/>
              </w:rPr>
              <w:t>学生中心</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确定教学方式与</w:t>
            </w:r>
            <w:r>
              <w:rPr>
                <w:rFonts w:eastAsia="宋体" w:cs="Times New Roman" w:asciiTheme="minorEastAsia" w:hAnsiTheme="minorEastAsia"/>
                <w:kern w:val="0"/>
                <w:sz w:val="24"/>
                <w:szCs w:val="24"/>
              </w:rPr>
              <w:t>方法</w:t>
            </w:r>
          </w:p>
        </w:tc>
        <w:tc>
          <w:tcPr>
            <w:tcW w:w="1560" w:type="dxa"/>
            <w:vAlign w:val="center"/>
          </w:tcPr>
          <w:p>
            <w:pPr>
              <w:spacing w:line="360" w:lineRule="auto"/>
              <w:rPr>
                <w:rFonts w:eastAsia="宋体" w:cs="Times New Roman" w:asciiTheme="minorEastAsia" w:hAnsiTheme="minorEastAsia"/>
                <w:kern w:val="0"/>
                <w:sz w:val="24"/>
                <w:szCs w:val="20"/>
              </w:rPr>
            </w:pPr>
            <w:r>
              <w:rPr>
                <w:rFonts w:hint="eastAsia" w:eastAsia="宋体" w:cs="Times New Roman" w:asciiTheme="minorEastAsia" w:hAnsiTheme="minorEastAsia"/>
                <w:kern w:val="0"/>
                <w:sz w:val="24"/>
                <w:szCs w:val="24"/>
              </w:rPr>
              <w:t>课程质量评价、</w:t>
            </w:r>
            <w:r>
              <w:rPr>
                <w:rFonts w:eastAsia="宋体" w:cs="Times New Roman" w:asciiTheme="minorEastAsia" w:hAnsiTheme="minorEastAsia"/>
                <w:kern w:val="0"/>
                <w:sz w:val="24"/>
                <w:szCs w:val="24"/>
              </w:rPr>
              <w:t>督导</w:t>
            </w:r>
            <w:r>
              <w:rPr>
                <w:rFonts w:hint="eastAsia" w:eastAsia="宋体" w:cs="Times New Roman" w:asciiTheme="minorEastAsia" w:hAnsiTheme="minorEastAsia"/>
                <w:kern w:val="0"/>
                <w:sz w:val="24"/>
                <w:szCs w:val="24"/>
              </w:rPr>
              <w:t>（领导）评教</w:t>
            </w:r>
            <w:r>
              <w:rPr>
                <w:rFonts w:eastAsia="宋体" w:cs="Times New Roman" w:asciiTheme="minorEastAsia" w:hAnsiTheme="minorEastAsia"/>
                <w:kern w:val="0"/>
                <w:sz w:val="24"/>
                <w:szCs w:val="24"/>
              </w:rPr>
              <w:t>等</w:t>
            </w:r>
          </w:p>
        </w:tc>
        <w:tc>
          <w:tcPr>
            <w:tcW w:w="1184" w:type="dxa"/>
            <w:vAlign w:val="center"/>
          </w:tcPr>
          <w:p>
            <w:pPr>
              <w:spacing w:line="360" w:lineRule="auto"/>
              <w:rPr>
                <w:rFonts w:eastAsia="宋体" w:cs="Times New Roman" w:asciiTheme="minorEastAsia" w:hAnsiTheme="minorEastAsia"/>
                <w:kern w:val="0"/>
                <w:sz w:val="24"/>
                <w:szCs w:val="20"/>
              </w:rPr>
            </w:pPr>
            <w:r>
              <w:rPr>
                <w:rFonts w:hint="eastAsia" w:eastAsia="宋体" w:cs="Times New Roman" w:asciiTheme="minorEastAsia" w:hAnsiTheme="minorEastAsia"/>
                <w:kern w:val="0"/>
                <w:sz w:val="24"/>
                <w:szCs w:val="24"/>
              </w:rPr>
              <w:t>授课教师</w:t>
            </w:r>
          </w:p>
        </w:tc>
      </w:tr>
    </w:tbl>
    <w:p>
      <w:pPr>
        <w:spacing w:line="360" w:lineRule="auto"/>
        <w:ind w:firstLine="560" w:firstLineChars="200"/>
        <w:rPr>
          <w:rFonts w:ascii="宋体" w:hAnsi="宋体" w:cs="宋体"/>
          <w:sz w:val="28"/>
          <w:szCs w:val="28"/>
        </w:rPr>
      </w:pPr>
      <w:r>
        <w:rPr>
          <w:rFonts w:hint="eastAsia" w:ascii="宋体" w:hAnsi="宋体" w:eastAsia="宋体" w:cs="宋体"/>
          <w:sz w:val="28"/>
          <w:szCs w:val="28"/>
        </w:rPr>
        <w:t>学校层次的课程思政重点任务是在高校内部完成课程思政的顶层设计问题，体现了各高校鲜明的育人目标和核心的育人理念，具体包括学校人才培养的服务面向、目标定位、培养模式和质量保障等。各高校基于自身的类型定位（如理工类高校或人文社科类高校、“双一流”高校或地方应用型高校）对上述问题做出不同的回答。课程思政在这一层次的建设成果既融入在学校的发展规划、教学管理制度和相关政策文件之中，也可以体现为专门出台的课程思政指导意见或思想政治核心素养实施框架等。</w:t>
      </w:r>
    </w:p>
    <w:p>
      <w:pPr>
        <w:spacing w:line="360" w:lineRule="auto"/>
        <w:ind w:firstLine="480"/>
        <w:rPr>
          <w:rFonts w:ascii="宋体" w:hAnsi="宋体" w:cs="宋体"/>
          <w:sz w:val="28"/>
          <w:szCs w:val="28"/>
        </w:rPr>
      </w:pPr>
      <w:r>
        <w:rPr>
          <w:rFonts w:hint="eastAsia" w:ascii="宋体" w:hAnsi="宋体" w:eastAsia="宋体" w:cs="宋体"/>
          <w:sz w:val="28"/>
          <w:szCs w:val="28"/>
        </w:rPr>
        <w:t>专业层次的课程思政主要是在专业层面解决育人目标及其实现路径问题。总的来说就是各专业依据学校的办学定位确定各自的人才培养目标和毕业要求（培养规格），并在课程体系中确立各门课程与毕业要求之间的对应关系，形成完整的课程安排。该层次的课程思政建设成果既体现在各专业人才培养方案之中，也可以凝练总结成具体的某专业（或学科专业群）课程思政建设指南。</w:t>
      </w:r>
    </w:p>
    <w:p>
      <w:pPr>
        <w:spacing w:line="360" w:lineRule="auto"/>
        <w:ind w:firstLine="560" w:firstLineChars="200"/>
        <w:rPr>
          <w:rFonts w:ascii="宋体" w:hAnsi="宋体" w:cs="宋体"/>
          <w:sz w:val="28"/>
          <w:szCs w:val="28"/>
        </w:rPr>
      </w:pPr>
      <w:r>
        <w:rPr>
          <w:rFonts w:hint="eastAsia" w:ascii="宋体" w:hAnsi="宋体" w:eastAsia="宋体" w:cs="宋体"/>
          <w:sz w:val="28"/>
          <w:szCs w:val="28"/>
        </w:rPr>
        <w:t>单一课程层次的课程思政建设主要是在单一课程（也可扩展为某一核心课程群）中实现课程思政方案的设计和实施。教师作为实施主体，基于本课程在课程体系中的功能定位确定所应承担的思想政治教育任务，依据学生特点和课程资源情况制定教学计划。当前关于课程思政的研讨和实践主要集中在这一层次，其建设成果既表现为教学大纲、教案等教学文档，也表现为课程思政示范案例、典型经验总结等。</w:t>
      </w:r>
    </w:p>
    <w:p>
      <w:pPr>
        <w:spacing w:line="360" w:lineRule="auto"/>
        <w:ind w:firstLine="559" w:firstLineChars="199"/>
        <w:rPr>
          <w:rFonts w:ascii="宋体" w:hAnsi="宋体" w:cs="宋体"/>
          <w:b/>
          <w:sz w:val="28"/>
          <w:szCs w:val="28"/>
        </w:rPr>
      </w:pPr>
      <w:r>
        <w:rPr>
          <w:rFonts w:hint="eastAsia" w:ascii="宋体" w:hAnsi="宋体" w:eastAsia="宋体" w:cs="宋体"/>
          <w:b/>
          <w:bCs/>
          <w:sz w:val="28"/>
          <w:szCs w:val="28"/>
        </w:rPr>
        <w:t>2.</w:t>
      </w:r>
      <w:r>
        <w:rPr>
          <w:rFonts w:hint="eastAsia" w:ascii="宋体" w:hAnsi="宋体" w:eastAsia="宋体" w:cs="宋体"/>
          <w:b/>
          <w:sz w:val="28"/>
          <w:szCs w:val="28"/>
        </w:rPr>
        <w:t>课程思政的逐层实现路径</w:t>
      </w:r>
    </w:p>
    <w:p>
      <w:pPr>
        <w:spacing w:line="360" w:lineRule="auto"/>
        <w:ind w:firstLine="560" w:firstLineChars="200"/>
        <w:rPr>
          <w:rFonts w:ascii="宋体" w:hAnsi="宋体" w:cs="宋体"/>
          <w:sz w:val="28"/>
          <w:szCs w:val="28"/>
        </w:rPr>
      </w:pPr>
      <w:r>
        <w:rPr>
          <w:rFonts w:hint="eastAsia" w:ascii="宋体" w:hAnsi="宋体" w:eastAsia="宋体" w:cs="宋体"/>
          <w:sz w:val="28"/>
          <w:szCs w:val="28"/>
        </w:rPr>
        <w:t>课程思政在学校、专业和课程三个层面的逐步建设，实质上就是</w:t>
      </w:r>
      <w:r>
        <w:rPr>
          <w:rFonts w:hint="eastAsia" w:ascii="宋体" w:hAnsi="宋体" w:cs="宋体"/>
          <w:sz w:val="28"/>
          <w:szCs w:val="28"/>
        </w:rPr>
        <w:t>把</w:t>
      </w:r>
      <w:r>
        <w:rPr>
          <w:rFonts w:hint="eastAsia" w:ascii="宋体" w:hAnsi="宋体" w:eastAsia="宋体" w:cs="宋体"/>
          <w:sz w:val="28"/>
          <w:szCs w:val="28"/>
        </w:rPr>
        <w:t>“应然”的立德树人愿望落实到“实然”的学习结果的过程，其主线是课程目标在三个层面的逐层分解。那么，在高校人才培养的具体情境中，这种课程目标的逐层分解又遵循了怎样的技术路线呢？本项目依据OBE理念，以某地方应用型高校的土木工程专业为例揭示这一目标层级体系的实现路径（详见表3-2）。</w:t>
      </w:r>
    </w:p>
    <w:p>
      <w:pPr>
        <w:spacing w:line="360" w:lineRule="auto"/>
        <w:rPr>
          <w:rFonts w:ascii="宋体" w:hAnsi="宋体" w:cs="宋体"/>
          <w:sz w:val="28"/>
          <w:szCs w:val="28"/>
        </w:rPr>
      </w:pPr>
      <w:r>
        <w:rPr>
          <w:rFonts w:hint="eastAsia" w:asciiTheme="minorEastAsia" w:hAnsiTheme="minorEastAsia"/>
          <w:sz w:val="24"/>
          <w:szCs w:val="24"/>
        </w:rPr>
        <w:t>表3-2 课程思政</w:t>
      </w:r>
      <w:r>
        <w:rPr>
          <w:rFonts w:asciiTheme="minorEastAsia" w:hAnsiTheme="minorEastAsia"/>
          <w:sz w:val="24"/>
          <w:szCs w:val="24"/>
        </w:rPr>
        <w:t>的</w:t>
      </w:r>
      <w:r>
        <w:rPr>
          <w:rFonts w:hint="eastAsia" w:asciiTheme="minorEastAsia" w:hAnsiTheme="minorEastAsia"/>
          <w:sz w:val="24"/>
          <w:szCs w:val="24"/>
        </w:rPr>
        <w:t>目标</w:t>
      </w:r>
      <w:r>
        <w:rPr>
          <w:rFonts w:asciiTheme="minorEastAsia" w:hAnsiTheme="minorEastAsia"/>
          <w:sz w:val="24"/>
          <w:szCs w:val="24"/>
        </w:rPr>
        <w:t>层级体系</w:t>
      </w:r>
      <w:r>
        <w:rPr>
          <w:rFonts w:hint="eastAsia" w:asciiTheme="minorEastAsia" w:hAnsiTheme="minorEastAsia"/>
          <w:sz w:val="24"/>
          <w:szCs w:val="24"/>
        </w:rPr>
        <w:t>——</w:t>
      </w:r>
      <w:r>
        <w:rPr>
          <w:rFonts w:asciiTheme="minorEastAsia" w:hAnsiTheme="minorEastAsia"/>
          <w:sz w:val="24"/>
          <w:szCs w:val="24"/>
        </w:rPr>
        <w:t>以某地方应用型高校的土木工程专业为例</w:t>
      </w:r>
    </w:p>
    <w:tbl>
      <w:tblPr>
        <w:tblStyle w:val="12"/>
        <w:tblW w:w="8506"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4"/>
        <w:gridCol w:w="2835"/>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pPr>
              <w:spacing w:line="360" w:lineRule="auto"/>
              <w:jc w:val="center"/>
              <w:rPr>
                <w:rFonts w:eastAsia="宋体" w:cs="Times New Roman" w:asciiTheme="minorEastAsia" w:hAnsiTheme="minorEastAsia"/>
                <w:kern w:val="0"/>
                <w:sz w:val="24"/>
                <w:szCs w:val="20"/>
              </w:rPr>
            </w:pPr>
            <w:r>
              <w:rPr>
                <w:rFonts w:hint="eastAsia" w:eastAsia="宋体" w:cs="Times New Roman" w:asciiTheme="minorEastAsia" w:hAnsiTheme="minorEastAsia"/>
                <w:kern w:val="0"/>
                <w:sz w:val="24"/>
                <w:szCs w:val="24"/>
              </w:rPr>
              <w:t>目标</w:t>
            </w:r>
            <w:r>
              <w:rPr>
                <w:rFonts w:eastAsia="宋体" w:cs="Times New Roman" w:asciiTheme="minorEastAsia" w:hAnsiTheme="minorEastAsia"/>
                <w:kern w:val="0"/>
                <w:sz w:val="24"/>
                <w:szCs w:val="24"/>
              </w:rPr>
              <w:t>层级</w:t>
            </w:r>
          </w:p>
        </w:tc>
        <w:tc>
          <w:tcPr>
            <w:tcW w:w="2835" w:type="dxa"/>
          </w:tcPr>
          <w:p>
            <w:pPr>
              <w:spacing w:line="360" w:lineRule="auto"/>
              <w:jc w:val="center"/>
              <w:rPr>
                <w:rFonts w:eastAsia="宋体" w:cs="Times New Roman" w:asciiTheme="minorEastAsia" w:hAnsiTheme="minorEastAsia"/>
                <w:kern w:val="0"/>
                <w:sz w:val="24"/>
                <w:szCs w:val="20"/>
              </w:rPr>
            </w:pPr>
            <w:r>
              <w:rPr>
                <w:rFonts w:hint="eastAsia" w:eastAsia="宋体" w:cs="Times New Roman" w:asciiTheme="minorEastAsia" w:hAnsiTheme="minorEastAsia"/>
                <w:kern w:val="0"/>
                <w:sz w:val="24"/>
                <w:szCs w:val="24"/>
              </w:rPr>
              <w:t>总体描述</w:t>
            </w:r>
          </w:p>
        </w:tc>
        <w:tc>
          <w:tcPr>
            <w:tcW w:w="3827" w:type="dxa"/>
          </w:tcPr>
          <w:p>
            <w:pPr>
              <w:spacing w:line="360" w:lineRule="auto"/>
              <w:jc w:val="center"/>
              <w:rPr>
                <w:rFonts w:eastAsia="宋体" w:cs="Times New Roman" w:asciiTheme="minorEastAsia" w:hAnsiTheme="minorEastAsia"/>
                <w:kern w:val="0"/>
                <w:sz w:val="24"/>
                <w:szCs w:val="20"/>
              </w:rPr>
            </w:pPr>
            <w:r>
              <w:rPr>
                <w:rFonts w:hint="eastAsia" w:eastAsia="宋体" w:cs="Times New Roman" w:asciiTheme="minorEastAsia" w:hAnsiTheme="minorEastAsia"/>
                <w:kern w:val="0"/>
                <w:sz w:val="24"/>
                <w:szCs w:val="24"/>
              </w:rPr>
              <w:t>详细说明</w:t>
            </w:r>
            <w:r>
              <w:rPr>
                <w:rFonts w:eastAsia="宋体" w:cs="Times New Roman" w:asciiTheme="minorEastAsia" w:hAnsiTheme="minorEastAsia"/>
                <w:kern w:val="0"/>
                <w:sz w:val="24"/>
                <w:szCs w:val="24"/>
              </w:rPr>
              <w:t>或</w:t>
            </w:r>
            <w:r>
              <w:rPr>
                <w:rFonts w:hint="eastAsia" w:eastAsia="宋体" w:cs="Times New Roman" w:asciiTheme="minorEastAsia" w:hAnsiTheme="minorEastAsia"/>
                <w:kern w:val="0"/>
                <w:sz w:val="24"/>
                <w:szCs w:val="24"/>
              </w:rPr>
              <w:t>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vAlign w:val="center"/>
          </w:tcPr>
          <w:p>
            <w:pPr>
              <w:spacing w:line="360" w:lineRule="auto"/>
              <w:rPr>
                <w:rFonts w:eastAsia="宋体" w:cs="Times New Roman" w:asciiTheme="minorEastAsia" w:hAnsiTheme="minorEastAsia"/>
                <w:kern w:val="0"/>
                <w:sz w:val="24"/>
                <w:szCs w:val="20"/>
              </w:rPr>
            </w:pPr>
            <w:r>
              <w:rPr>
                <w:rFonts w:hint="eastAsia" w:eastAsia="宋体" w:cs="Times New Roman" w:asciiTheme="minorEastAsia" w:hAnsiTheme="minorEastAsia"/>
                <w:kern w:val="0"/>
                <w:sz w:val="24"/>
                <w:szCs w:val="24"/>
              </w:rPr>
              <w:t>学校人才培养</w:t>
            </w:r>
            <w:r>
              <w:rPr>
                <w:rFonts w:eastAsia="宋体" w:cs="Times New Roman" w:asciiTheme="minorEastAsia" w:hAnsiTheme="minorEastAsia"/>
                <w:kern w:val="0"/>
                <w:sz w:val="24"/>
                <w:szCs w:val="24"/>
              </w:rPr>
              <w:t>定位</w:t>
            </w:r>
          </w:p>
        </w:tc>
        <w:tc>
          <w:tcPr>
            <w:tcW w:w="2835" w:type="dxa"/>
            <w:vAlign w:val="center"/>
          </w:tcPr>
          <w:p>
            <w:pPr>
              <w:spacing w:line="360" w:lineRule="auto"/>
              <w:rPr>
                <w:rFonts w:eastAsia="宋体" w:cs="Times New Roman" w:asciiTheme="minorEastAsia" w:hAnsiTheme="minorEastAsia"/>
                <w:kern w:val="0"/>
                <w:sz w:val="24"/>
                <w:szCs w:val="20"/>
              </w:rPr>
            </w:pPr>
            <w:r>
              <w:rPr>
                <w:rFonts w:hint="eastAsia" w:eastAsia="宋体" w:cs="Times New Roman" w:asciiTheme="minorEastAsia" w:hAnsiTheme="minorEastAsia"/>
                <w:kern w:val="0"/>
                <w:sz w:val="24"/>
                <w:szCs w:val="24"/>
              </w:rPr>
              <w:t>以</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厚德精技、</w:t>
            </w:r>
            <w:r>
              <w:rPr>
                <w:rFonts w:eastAsia="宋体" w:cs="Times New Roman" w:asciiTheme="minorEastAsia" w:hAnsiTheme="minorEastAsia"/>
                <w:kern w:val="0"/>
                <w:sz w:val="24"/>
                <w:szCs w:val="24"/>
              </w:rPr>
              <w:t>砥砺知行”</w:t>
            </w:r>
            <w:r>
              <w:rPr>
                <w:rFonts w:hint="eastAsia" w:eastAsia="宋体" w:cs="Times New Roman" w:asciiTheme="minorEastAsia" w:hAnsiTheme="minorEastAsia"/>
                <w:kern w:val="0"/>
                <w:sz w:val="24"/>
                <w:szCs w:val="24"/>
              </w:rPr>
              <w:t>为</w:t>
            </w:r>
            <w:r>
              <w:rPr>
                <w:rFonts w:eastAsia="宋体" w:cs="Times New Roman" w:asciiTheme="minorEastAsia" w:hAnsiTheme="minorEastAsia"/>
                <w:kern w:val="0"/>
                <w:sz w:val="24"/>
                <w:szCs w:val="24"/>
              </w:rPr>
              <w:t>基本特征</w:t>
            </w:r>
            <w:r>
              <w:rPr>
                <w:rFonts w:hint="eastAsia" w:eastAsia="宋体" w:cs="Times New Roman" w:asciiTheme="minorEastAsia" w:hAnsiTheme="minorEastAsia"/>
                <w:kern w:val="0"/>
                <w:sz w:val="24"/>
                <w:szCs w:val="24"/>
              </w:rPr>
              <w:t>。</w:t>
            </w:r>
          </w:p>
        </w:tc>
        <w:tc>
          <w:tcPr>
            <w:tcW w:w="3827" w:type="dxa"/>
            <w:vAlign w:val="center"/>
          </w:tcPr>
          <w:p>
            <w:pPr>
              <w:spacing w:line="360" w:lineRule="auto"/>
              <w:rPr>
                <w:rFonts w:eastAsia="宋体" w:cs="Times New Roman" w:asciiTheme="minorEastAsia" w:hAnsiTheme="minorEastAsia"/>
                <w:kern w:val="0"/>
                <w:sz w:val="24"/>
                <w:szCs w:val="20"/>
              </w:rPr>
            </w:pPr>
            <w:r>
              <w:rPr>
                <w:rFonts w:eastAsia="宋体" w:cs="Times New Roman" w:asciiTheme="minorEastAsia" w:hAnsiTheme="minorEastAsia"/>
                <w:kern w:val="0"/>
                <w:sz w:val="24"/>
                <w:szCs w:val="24"/>
              </w:rPr>
              <w:t>培养</w:t>
            </w:r>
            <w:r>
              <w:rPr>
                <w:rFonts w:hint="eastAsia" w:eastAsia="宋体" w:cs="Times New Roman" w:asciiTheme="minorEastAsia" w:hAnsiTheme="minorEastAsia"/>
                <w:kern w:val="0"/>
                <w:sz w:val="24"/>
                <w:szCs w:val="24"/>
              </w:rPr>
              <w:t>具有理想信念、家国情怀、扎根基层、勇担责任的高素质应用创新型人才。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vAlign w:val="center"/>
          </w:tcPr>
          <w:p>
            <w:pPr>
              <w:spacing w:line="360" w:lineRule="auto"/>
              <w:rPr>
                <w:rFonts w:eastAsia="宋体" w:cs="Times New Roman" w:asciiTheme="minorEastAsia" w:hAnsiTheme="minorEastAsia"/>
                <w:kern w:val="0"/>
                <w:sz w:val="24"/>
                <w:szCs w:val="20"/>
              </w:rPr>
            </w:pPr>
            <w:r>
              <w:rPr>
                <w:rFonts w:hint="eastAsia" w:eastAsia="宋体" w:cs="Times New Roman" w:asciiTheme="minorEastAsia" w:hAnsiTheme="minorEastAsia"/>
                <w:kern w:val="0"/>
                <w:sz w:val="24"/>
                <w:szCs w:val="24"/>
              </w:rPr>
              <w:t>专业培养目标</w:t>
            </w:r>
          </w:p>
        </w:tc>
        <w:tc>
          <w:tcPr>
            <w:tcW w:w="2835" w:type="dxa"/>
            <w:vAlign w:val="center"/>
          </w:tcPr>
          <w:p>
            <w:pPr>
              <w:spacing w:line="360" w:lineRule="auto"/>
              <w:rPr>
                <w:rFonts w:eastAsia="宋体" w:cs="Times New Roman" w:asciiTheme="minorEastAsia" w:hAnsiTheme="minorEastAsia"/>
                <w:kern w:val="0"/>
                <w:sz w:val="24"/>
                <w:szCs w:val="20"/>
              </w:rPr>
            </w:pPr>
            <w:r>
              <w:rPr>
                <w:rFonts w:hint="eastAsia" w:eastAsia="宋体" w:cs="Times New Roman" w:asciiTheme="minorEastAsia" w:hAnsiTheme="minorEastAsia"/>
                <w:kern w:val="0"/>
                <w:sz w:val="24"/>
                <w:szCs w:val="24"/>
              </w:rPr>
              <w:t>培养……人文与工程素养并重，……岗位忠诚度高的一线工程师。</w:t>
            </w:r>
          </w:p>
        </w:tc>
        <w:tc>
          <w:tcPr>
            <w:tcW w:w="3827" w:type="dxa"/>
            <w:vAlign w:val="center"/>
          </w:tcPr>
          <w:p>
            <w:pPr>
              <w:spacing w:line="360" w:lineRule="auto"/>
              <w:rPr>
                <w:rFonts w:eastAsia="宋体" w:cs="Times New Roman" w:asciiTheme="minorEastAsia" w:hAnsiTheme="minorEastAsia"/>
                <w:kern w:val="0"/>
                <w:sz w:val="24"/>
                <w:szCs w:val="20"/>
              </w:rPr>
            </w:pPr>
            <w:r>
              <w:rPr>
                <w:rFonts w:hint="eastAsia" w:eastAsia="宋体" w:cs="Times New Roman" w:asciiTheme="minorEastAsia" w:hAnsiTheme="minorEastAsia"/>
                <w:kern w:val="0"/>
                <w:sz w:val="24"/>
                <w:szCs w:val="24"/>
              </w:rPr>
              <w:t>目标</w:t>
            </w:r>
            <w:r>
              <w:rPr>
                <w:rFonts w:eastAsia="宋体" w:cs="Times New Roman" w:asciiTheme="minorEastAsia" w:hAnsiTheme="minorEastAsia"/>
                <w:kern w:val="0"/>
                <w:sz w:val="24"/>
                <w:szCs w:val="24"/>
              </w:rPr>
              <w:t>D:</w:t>
            </w:r>
            <w:r>
              <w:rPr>
                <w:rFonts w:hint="eastAsia" w:eastAsia="宋体" w:cs="Times New Roman" w:asciiTheme="minorEastAsia" w:hAnsiTheme="minorEastAsia"/>
                <w:kern w:val="0"/>
                <w:sz w:val="24"/>
                <w:szCs w:val="24"/>
              </w:rPr>
              <w:t>具有良好的身心素质和人文科学素养、安全责任意识、职业道德和社会责任。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vAlign w:val="center"/>
          </w:tcPr>
          <w:p>
            <w:pPr>
              <w:spacing w:line="360" w:lineRule="auto"/>
              <w:rPr>
                <w:rFonts w:eastAsia="宋体" w:cs="Times New Roman" w:asciiTheme="minorEastAsia" w:hAnsiTheme="minorEastAsia"/>
                <w:kern w:val="0"/>
                <w:sz w:val="24"/>
                <w:szCs w:val="20"/>
              </w:rPr>
            </w:pPr>
            <w:r>
              <w:rPr>
                <w:rFonts w:hint="eastAsia" w:eastAsia="宋体" w:cs="Times New Roman" w:asciiTheme="minorEastAsia" w:hAnsiTheme="minorEastAsia"/>
                <w:kern w:val="0"/>
                <w:sz w:val="24"/>
                <w:szCs w:val="24"/>
              </w:rPr>
              <w:t>专业毕业</w:t>
            </w:r>
            <w:r>
              <w:rPr>
                <w:rFonts w:eastAsia="宋体" w:cs="Times New Roman" w:asciiTheme="minorEastAsia" w:hAnsiTheme="minorEastAsia"/>
                <w:kern w:val="0"/>
                <w:sz w:val="24"/>
                <w:szCs w:val="24"/>
              </w:rPr>
              <w:t>要求</w:t>
            </w:r>
          </w:p>
        </w:tc>
        <w:tc>
          <w:tcPr>
            <w:tcW w:w="2835" w:type="dxa"/>
            <w:vAlign w:val="center"/>
          </w:tcPr>
          <w:p>
            <w:pPr>
              <w:spacing w:line="360" w:lineRule="auto"/>
              <w:rPr>
                <w:rFonts w:eastAsia="宋体" w:cs="Times New Roman" w:asciiTheme="minorEastAsia" w:hAnsiTheme="minorEastAsia"/>
                <w:kern w:val="0"/>
                <w:sz w:val="24"/>
                <w:szCs w:val="20"/>
              </w:rPr>
            </w:pPr>
            <w:r>
              <w:rPr>
                <w:rFonts w:hint="eastAsia" w:eastAsia="宋体" w:cs="Times New Roman" w:asciiTheme="minorEastAsia" w:hAnsiTheme="minorEastAsia"/>
                <w:kern w:val="0"/>
                <w:sz w:val="24"/>
                <w:szCs w:val="24"/>
              </w:rPr>
              <w:t>6.工程</w:t>
            </w:r>
            <w:r>
              <w:rPr>
                <w:rFonts w:eastAsia="宋体" w:cs="Times New Roman" w:asciiTheme="minorEastAsia" w:hAnsiTheme="minorEastAsia"/>
                <w:kern w:val="0"/>
                <w:sz w:val="24"/>
                <w:szCs w:val="24"/>
              </w:rPr>
              <w:t>与社会</w:t>
            </w:r>
          </w:p>
          <w:p>
            <w:pPr>
              <w:spacing w:line="360" w:lineRule="auto"/>
              <w:rPr>
                <w:rFonts w:eastAsia="宋体" w:cs="Times New Roman" w:asciiTheme="minorEastAsia" w:hAnsiTheme="minorEastAsia"/>
                <w:kern w:val="0"/>
                <w:sz w:val="24"/>
                <w:szCs w:val="20"/>
              </w:rPr>
            </w:pPr>
            <w:r>
              <w:rPr>
                <w:rFonts w:hint="eastAsia" w:eastAsia="宋体" w:cs="Times New Roman" w:asciiTheme="minorEastAsia" w:hAnsiTheme="minorEastAsia"/>
                <w:kern w:val="0"/>
                <w:sz w:val="24"/>
                <w:szCs w:val="24"/>
              </w:rPr>
              <w:t>7.环境</w:t>
            </w:r>
            <w:r>
              <w:rPr>
                <w:rFonts w:eastAsia="宋体" w:cs="Times New Roman" w:asciiTheme="minorEastAsia" w:hAnsiTheme="minorEastAsia"/>
                <w:kern w:val="0"/>
                <w:sz w:val="24"/>
                <w:szCs w:val="24"/>
              </w:rPr>
              <w:t>与可持续发展</w:t>
            </w:r>
          </w:p>
          <w:p>
            <w:pPr>
              <w:spacing w:line="360" w:lineRule="auto"/>
              <w:rPr>
                <w:rFonts w:eastAsia="宋体" w:cs="Times New Roman" w:asciiTheme="minorEastAsia" w:hAnsiTheme="minorEastAsia"/>
                <w:kern w:val="0"/>
                <w:sz w:val="24"/>
                <w:szCs w:val="20"/>
              </w:rPr>
            </w:pPr>
            <w:r>
              <w:rPr>
                <w:rFonts w:eastAsia="宋体" w:cs="Times New Roman" w:asciiTheme="minorEastAsia" w:hAnsiTheme="minorEastAsia"/>
                <w:kern w:val="0"/>
                <w:sz w:val="24"/>
                <w:szCs w:val="24"/>
              </w:rPr>
              <w:t>8.</w:t>
            </w:r>
            <w:r>
              <w:rPr>
                <w:rFonts w:hint="eastAsia" w:eastAsia="宋体" w:cs="Times New Roman" w:asciiTheme="minorEastAsia" w:hAnsiTheme="minorEastAsia"/>
                <w:kern w:val="0"/>
                <w:sz w:val="24"/>
                <w:szCs w:val="24"/>
              </w:rPr>
              <w:t>职业规范</w:t>
            </w:r>
          </w:p>
          <w:p>
            <w:pPr>
              <w:spacing w:line="360" w:lineRule="auto"/>
              <w:rPr>
                <w:rFonts w:eastAsia="宋体" w:cs="Times New Roman" w:asciiTheme="minorEastAsia" w:hAnsiTheme="minorEastAsia"/>
                <w:kern w:val="0"/>
                <w:sz w:val="24"/>
                <w:szCs w:val="20"/>
              </w:rPr>
            </w:pPr>
            <w:r>
              <w:rPr>
                <w:rFonts w:eastAsia="宋体" w:cs="Times New Roman" w:asciiTheme="minorEastAsia" w:hAnsiTheme="minorEastAsia"/>
                <w:kern w:val="0"/>
                <w:sz w:val="24"/>
                <w:szCs w:val="24"/>
              </w:rPr>
              <w:t>11</w:t>
            </w:r>
            <w:r>
              <w:rPr>
                <w:rFonts w:hint="eastAsia" w:eastAsia="宋体" w:cs="Times New Roman" w:asciiTheme="minorEastAsia" w:hAnsiTheme="minorEastAsia"/>
                <w:kern w:val="0"/>
                <w:sz w:val="24"/>
                <w:szCs w:val="24"/>
              </w:rPr>
              <w:t>.终身</w:t>
            </w:r>
            <w:r>
              <w:rPr>
                <w:rFonts w:eastAsia="宋体" w:cs="Times New Roman" w:asciiTheme="minorEastAsia" w:hAnsiTheme="minorEastAsia"/>
                <w:kern w:val="0"/>
                <w:sz w:val="24"/>
                <w:szCs w:val="24"/>
              </w:rPr>
              <w:t>学习</w:t>
            </w:r>
          </w:p>
        </w:tc>
        <w:tc>
          <w:tcPr>
            <w:tcW w:w="3827" w:type="dxa"/>
            <w:vAlign w:val="center"/>
          </w:tcPr>
          <w:p>
            <w:pPr>
              <w:spacing w:line="360" w:lineRule="auto"/>
              <w:rPr>
                <w:rFonts w:eastAsia="宋体" w:cs="Times New Roman" w:asciiTheme="minorEastAsia" w:hAnsiTheme="minorEastAsia"/>
                <w:kern w:val="0"/>
                <w:sz w:val="24"/>
                <w:szCs w:val="20"/>
              </w:rPr>
            </w:pPr>
            <w:r>
              <w:rPr>
                <w:rFonts w:hint="eastAsia" w:eastAsia="宋体" w:cs="Times New Roman" w:asciiTheme="minorEastAsia" w:hAnsiTheme="minorEastAsia"/>
                <w:kern w:val="0"/>
                <w:sz w:val="24"/>
                <w:szCs w:val="24"/>
              </w:rPr>
              <w:t>示例</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6.2能初步判断……对社会、健康、安全以及文化的影响，并理解土木工程师应承担的责任。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vAlign w:val="center"/>
          </w:tcPr>
          <w:p>
            <w:pPr>
              <w:spacing w:line="360" w:lineRule="auto"/>
              <w:rPr>
                <w:rFonts w:eastAsia="宋体" w:cs="Times New Roman" w:asciiTheme="minorEastAsia" w:hAnsiTheme="minorEastAsia"/>
                <w:kern w:val="0"/>
                <w:sz w:val="24"/>
                <w:szCs w:val="20"/>
              </w:rPr>
            </w:pPr>
            <w:r>
              <w:rPr>
                <w:rFonts w:hint="eastAsia" w:eastAsia="宋体" w:cs="Times New Roman" w:asciiTheme="minorEastAsia" w:hAnsiTheme="minorEastAsia"/>
                <w:kern w:val="0"/>
                <w:sz w:val="24"/>
                <w:szCs w:val="24"/>
              </w:rPr>
              <w:t>单一课程目标</w:t>
            </w:r>
          </w:p>
        </w:tc>
        <w:tc>
          <w:tcPr>
            <w:tcW w:w="2835" w:type="dxa"/>
            <w:vAlign w:val="center"/>
          </w:tcPr>
          <w:p>
            <w:pPr>
              <w:spacing w:line="360" w:lineRule="auto"/>
              <w:rPr>
                <w:rFonts w:eastAsia="宋体" w:cs="Times New Roman" w:asciiTheme="minorEastAsia" w:hAnsiTheme="minorEastAsia"/>
                <w:kern w:val="0"/>
                <w:sz w:val="24"/>
                <w:szCs w:val="20"/>
              </w:rPr>
            </w:pPr>
            <w:r>
              <w:rPr>
                <w:rFonts w:hint="eastAsia" w:eastAsia="宋体" w:cs="Times New Roman" w:asciiTheme="minorEastAsia" w:hAnsiTheme="minorEastAsia"/>
                <w:kern w:val="0"/>
                <w:sz w:val="24"/>
                <w:szCs w:val="24"/>
              </w:rPr>
              <w:t>制定土木工程</w:t>
            </w:r>
            <w:r>
              <w:rPr>
                <w:rFonts w:eastAsia="宋体" w:cs="Times New Roman" w:asciiTheme="minorEastAsia" w:hAnsiTheme="minorEastAsia"/>
                <w:kern w:val="0"/>
                <w:sz w:val="24"/>
                <w:szCs w:val="24"/>
              </w:rPr>
              <w:t>概论、房屋建筑学、</w:t>
            </w:r>
            <w:r>
              <w:rPr>
                <w:rFonts w:hint="eastAsia" w:eastAsia="宋体" w:cs="Times New Roman" w:asciiTheme="minorEastAsia" w:hAnsiTheme="minorEastAsia"/>
                <w:kern w:val="0"/>
                <w:sz w:val="24"/>
                <w:szCs w:val="24"/>
              </w:rPr>
              <w:t>毕业实习等7门课程的教学</w:t>
            </w:r>
            <w:r>
              <w:rPr>
                <w:rFonts w:eastAsia="宋体" w:cs="Times New Roman" w:asciiTheme="minorEastAsia" w:hAnsiTheme="minorEastAsia"/>
                <w:kern w:val="0"/>
                <w:sz w:val="24"/>
                <w:szCs w:val="24"/>
              </w:rPr>
              <w:t>目标</w:t>
            </w:r>
          </w:p>
        </w:tc>
        <w:tc>
          <w:tcPr>
            <w:tcW w:w="3827" w:type="dxa"/>
            <w:vAlign w:val="center"/>
          </w:tcPr>
          <w:p>
            <w:pPr>
              <w:spacing w:line="360" w:lineRule="auto"/>
              <w:rPr>
                <w:rFonts w:eastAsia="宋体" w:cs="Times New Roman" w:asciiTheme="minorEastAsia" w:hAnsiTheme="minorEastAsia"/>
                <w:kern w:val="0"/>
                <w:sz w:val="24"/>
                <w:szCs w:val="20"/>
              </w:rPr>
            </w:pPr>
            <w:r>
              <w:rPr>
                <w:rFonts w:hint="eastAsia" w:eastAsia="宋体" w:cs="Times New Roman" w:asciiTheme="minorEastAsia" w:hAnsiTheme="minorEastAsia"/>
                <w:kern w:val="0"/>
                <w:sz w:val="24"/>
                <w:szCs w:val="24"/>
              </w:rPr>
              <w:t>示例</w:t>
            </w:r>
            <w:r>
              <w:rPr>
                <w:rFonts w:eastAsia="宋体" w:cs="Times New Roman" w:asciiTheme="minorEastAsia" w:hAnsiTheme="minorEastAsia"/>
                <w:kern w:val="0"/>
                <w:sz w:val="24"/>
                <w:szCs w:val="24"/>
              </w:rPr>
              <w:t>：</w:t>
            </w:r>
            <w:r>
              <w:rPr>
                <w:rFonts w:hint="eastAsia" w:eastAsia="宋体" w:cs="Times New Roman" w:asciiTheme="minorEastAsia" w:hAnsiTheme="minorEastAsia"/>
                <w:kern w:val="0"/>
                <w:sz w:val="24"/>
                <w:szCs w:val="24"/>
              </w:rPr>
              <w:t>土木工程</w:t>
            </w:r>
            <w:r>
              <w:rPr>
                <w:rFonts w:eastAsia="宋体" w:cs="Times New Roman" w:asciiTheme="minorEastAsia" w:hAnsiTheme="minorEastAsia"/>
                <w:kern w:val="0"/>
                <w:sz w:val="24"/>
                <w:szCs w:val="24"/>
              </w:rPr>
              <w:t>概论</w:t>
            </w:r>
            <w:r>
              <w:rPr>
                <w:rFonts w:hint="eastAsia" w:eastAsia="宋体" w:cs="Times New Roman" w:asciiTheme="minorEastAsia" w:hAnsiTheme="minorEastAsia"/>
                <w:kern w:val="0"/>
                <w:sz w:val="24"/>
                <w:szCs w:val="24"/>
              </w:rPr>
              <w:t>—通过学习注册工程师的权利与责任，理解工程事故与责任心、职业道德的关系，让学生建立起社会责任意识和对职业的敬畏感。</w:t>
            </w:r>
          </w:p>
        </w:tc>
      </w:tr>
    </w:tbl>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在上述路径中，人才培养定位居于逻辑起点的</w:t>
      </w:r>
      <w:r>
        <w:rPr>
          <w:rFonts w:ascii="宋体" w:hAnsi="宋体" w:eastAsia="宋体" w:cs="宋体"/>
          <w:sz w:val="28"/>
          <w:szCs w:val="28"/>
        </w:rPr>
        <w:t>位置</w:t>
      </w:r>
      <w:r>
        <w:rPr>
          <w:rFonts w:hint="eastAsia" w:ascii="宋体" w:hAnsi="宋体" w:eastAsia="宋体" w:cs="宋体"/>
          <w:sz w:val="28"/>
          <w:szCs w:val="28"/>
        </w:rPr>
        <w:t>，是</w:t>
      </w:r>
      <w:r>
        <w:rPr>
          <w:rFonts w:ascii="宋体" w:hAnsi="宋体" w:eastAsia="宋体" w:cs="宋体"/>
          <w:sz w:val="28"/>
          <w:szCs w:val="28"/>
        </w:rPr>
        <w:t>高校</w:t>
      </w:r>
      <w:r>
        <w:rPr>
          <w:rFonts w:hint="eastAsia" w:ascii="宋体" w:hAnsi="宋体" w:eastAsia="宋体" w:cs="宋体"/>
          <w:sz w:val="28"/>
          <w:szCs w:val="28"/>
        </w:rPr>
        <w:t>立足</w:t>
      </w:r>
      <w:r>
        <w:rPr>
          <w:rFonts w:ascii="宋体" w:hAnsi="宋体" w:eastAsia="宋体" w:cs="宋体"/>
          <w:sz w:val="28"/>
          <w:szCs w:val="28"/>
        </w:rPr>
        <w:t>办学特色</w:t>
      </w:r>
      <w:r>
        <w:rPr>
          <w:rFonts w:hint="eastAsia" w:ascii="宋体" w:hAnsi="宋体" w:eastAsia="宋体" w:cs="宋体"/>
          <w:sz w:val="28"/>
          <w:szCs w:val="28"/>
        </w:rPr>
        <w:t>在</w:t>
      </w:r>
      <w:r>
        <w:rPr>
          <w:rFonts w:ascii="宋体" w:hAnsi="宋体" w:eastAsia="宋体" w:cs="宋体"/>
          <w:sz w:val="28"/>
          <w:szCs w:val="28"/>
        </w:rPr>
        <w:t>人才培养领域对</w:t>
      </w:r>
      <w:r>
        <w:rPr>
          <w:rFonts w:hint="eastAsia" w:ascii="宋体" w:hAnsi="宋体" w:eastAsia="宋体" w:cs="宋体"/>
          <w:sz w:val="28"/>
          <w:szCs w:val="28"/>
        </w:rPr>
        <w:t>“落实立德树人根本任务”“培育和践行社会主义核心价值观”等教育方针的理解和表述。在表2</w:t>
      </w:r>
      <w:r>
        <w:rPr>
          <w:rFonts w:ascii="宋体" w:hAnsi="宋体" w:eastAsia="宋体" w:cs="宋体"/>
          <w:sz w:val="28"/>
          <w:szCs w:val="28"/>
        </w:rPr>
        <w:t>中所</w:t>
      </w:r>
      <w:r>
        <w:rPr>
          <w:rFonts w:hint="eastAsia" w:ascii="宋体" w:hAnsi="宋体" w:eastAsia="宋体" w:cs="宋体"/>
          <w:sz w:val="28"/>
          <w:szCs w:val="28"/>
        </w:rPr>
        <w:t>例举</w:t>
      </w:r>
      <w:r>
        <w:rPr>
          <w:rFonts w:ascii="宋体" w:hAnsi="宋体" w:eastAsia="宋体" w:cs="宋体"/>
          <w:sz w:val="28"/>
          <w:szCs w:val="28"/>
        </w:rPr>
        <w:t>的高校，</w:t>
      </w:r>
      <w:r>
        <w:rPr>
          <w:rFonts w:hint="eastAsia" w:ascii="宋体" w:hAnsi="宋体" w:eastAsia="宋体" w:cs="宋体"/>
          <w:sz w:val="28"/>
          <w:szCs w:val="28"/>
        </w:rPr>
        <w:t>提出</w:t>
      </w:r>
      <w:r>
        <w:rPr>
          <w:rFonts w:ascii="宋体" w:hAnsi="宋体" w:eastAsia="宋体" w:cs="宋体"/>
          <w:sz w:val="28"/>
          <w:szCs w:val="28"/>
        </w:rPr>
        <w:t>了</w:t>
      </w:r>
      <w:r>
        <w:rPr>
          <w:rFonts w:hint="eastAsia" w:ascii="宋体" w:hAnsi="宋体" w:eastAsia="宋体" w:cs="宋体"/>
          <w:sz w:val="28"/>
          <w:szCs w:val="28"/>
        </w:rPr>
        <w:t>以</w:t>
      </w:r>
      <w:r>
        <w:rPr>
          <w:rFonts w:ascii="宋体" w:hAnsi="宋体" w:eastAsia="宋体" w:cs="宋体"/>
          <w:sz w:val="28"/>
          <w:szCs w:val="28"/>
        </w:rPr>
        <w:t>“</w:t>
      </w:r>
      <w:r>
        <w:rPr>
          <w:rFonts w:hint="eastAsia" w:ascii="宋体" w:hAnsi="宋体" w:eastAsia="宋体" w:cs="宋体"/>
          <w:sz w:val="28"/>
          <w:szCs w:val="28"/>
        </w:rPr>
        <w:t>培养具有理想信念、家国情怀、扎根基层、勇担责任的高素质应用创新型人才</w:t>
      </w:r>
      <w:r>
        <w:rPr>
          <w:rFonts w:ascii="宋体" w:hAnsi="宋体" w:eastAsia="宋体" w:cs="宋体"/>
          <w:sz w:val="28"/>
          <w:szCs w:val="28"/>
        </w:rPr>
        <w:t>”</w:t>
      </w:r>
      <w:r>
        <w:rPr>
          <w:rFonts w:hint="eastAsia" w:ascii="宋体" w:hAnsi="宋体" w:eastAsia="宋体" w:cs="宋体"/>
          <w:sz w:val="28"/>
          <w:szCs w:val="28"/>
        </w:rPr>
        <w:t>作为</w:t>
      </w:r>
      <w:r>
        <w:rPr>
          <w:rFonts w:ascii="宋体" w:hAnsi="宋体" w:eastAsia="宋体" w:cs="宋体"/>
          <w:sz w:val="28"/>
          <w:szCs w:val="28"/>
        </w:rPr>
        <w:t>思想政治教育的总体目标</w:t>
      </w:r>
      <w:r>
        <w:rPr>
          <w:rFonts w:hint="eastAsia" w:ascii="宋体" w:hAnsi="宋体" w:eastAsia="宋体" w:cs="宋体"/>
          <w:sz w:val="28"/>
          <w:szCs w:val="28"/>
        </w:rPr>
        <w:t>，</w:t>
      </w:r>
      <w:r>
        <w:rPr>
          <w:rFonts w:ascii="宋体" w:hAnsi="宋体" w:eastAsia="宋体" w:cs="宋体"/>
          <w:sz w:val="28"/>
          <w:szCs w:val="28"/>
        </w:rPr>
        <w:t>并凝练出“</w:t>
      </w:r>
      <w:r>
        <w:rPr>
          <w:rFonts w:hint="eastAsia" w:ascii="宋体" w:hAnsi="宋体" w:eastAsia="宋体" w:cs="宋体"/>
          <w:sz w:val="28"/>
          <w:szCs w:val="28"/>
        </w:rPr>
        <w:t>厚德精技、</w:t>
      </w:r>
      <w:r>
        <w:rPr>
          <w:rFonts w:ascii="宋体" w:hAnsi="宋体" w:eastAsia="宋体" w:cs="宋体"/>
          <w:sz w:val="28"/>
          <w:szCs w:val="28"/>
        </w:rPr>
        <w:t>砥砺知行”</w:t>
      </w:r>
      <w:r>
        <w:rPr>
          <w:rFonts w:hint="eastAsia" w:ascii="宋体" w:hAnsi="宋体" w:eastAsia="宋体" w:cs="宋体"/>
          <w:sz w:val="28"/>
          <w:szCs w:val="28"/>
        </w:rPr>
        <w:t>的</w:t>
      </w:r>
      <w:r>
        <w:rPr>
          <w:rFonts w:ascii="宋体" w:hAnsi="宋体" w:eastAsia="宋体" w:cs="宋体"/>
          <w:sz w:val="28"/>
          <w:szCs w:val="28"/>
        </w:rPr>
        <w:t>人才</w:t>
      </w:r>
      <w:r>
        <w:rPr>
          <w:rFonts w:hint="eastAsia" w:ascii="宋体" w:hAnsi="宋体" w:eastAsia="宋体" w:cs="宋体"/>
          <w:sz w:val="28"/>
          <w:szCs w:val="28"/>
        </w:rPr>
        <w:t>基本</w:t>
      </w:r>
      <w:r>
        <w:rPr>
          <w:rFonts w:ascii="宋体" w:hAnsi="宋体" w:eastAsia="宋体" w:cs="宋体"/>
          <w:sz w:val="28"/>
          <w:szCs w:val="28"/>
        </w:rPr>
        <w:t>特征。</w:t>
      </w:r>
      <w:r>
        <w:rPr>
          <w:rFonts w:hint="eastAsia" w:ascii="宋体" w:hAnsi="宋体" w:eastAsia="宋体" w:cs="宋体"/>
          <w:sz w:val="28"/>
          <w:szCs w:val="28"/>
        </w:rPr>
        <w:t>更进一步</w:t>
      </w:r>
      <w:r>
        <w:rPr>
          <w:rFonts w:ascii="宋体" w:hAnsi="宋体" w:eastAsia="宋体" w:cs="宋体"/>
          <w:sz w:val="28"/>
          <w:szCs w:val="28"/>
        </w:rPr>
        <w:t>，学校</w:t>
      </w:r>
      <w:r>
        <w:rPr>
          <w:rFonts w:hint="eastAsia" w:ascii="宋体" w:hAnsi="宋体" w:eastAsia="宋体" w:cs="宋体"/>
          <w:sz w:val="28"/>
          <w:szCs w:val="28"/>
        </w:rPr>
        <w:t>提出</w:t>
      </w:r>
      <w:r>
        <w:rPr>
          <w:rFonts w:ascii="宋体" w:hAnsi="宋体" w:eastAsia="宋体" w:cs="宋体"/>
          <w:sz w:val="28"/>
          <w:szCs w:val="28"/>
        </w:rPr>
        <w:t>了“</w:t>
      </w:r>
      <w:r>
        <w:rPr>
          <w:rFonts w:hint="eastAsia" w:ascii="宋体" w:hAnsi="宋体" w:eastAsia="宋体" w:cs="宋体"/>
          <w:sz w:val="28"/>
          <w:szCs w:val="28"/>
        </w:rPr>
        <w:t>应用型</w:t>
      </w:r>
      <w:r>
        <w:rPr>
          <w:rFonts w:ascii="宋体" w:hAnsi="宋体" w:eastAsia="宋体" w:cs="宋体"/>
          <w:sz w:val="28"/>
          <w:szCs w:val="28"/>
        </w:rPr>
        <w:t>人才</w:t>
      </w:r>
      <w:r>
        <w:rPr>
          <w:rFonts w:hint="eastAsia" w:ascii="宋体" w:hAnsi="宋体" w:eastAsia="宋体" w:cs="宋体"/>
          <w:sz w:val="28"/>
          <w:szCs w:val="28"/>
        </w:rPr>
        <w:t>思想</w:t>
      </w:r>
      <w:r>
        <w:rPr>
          <w:rFonts w:ascii="宋体" w:hAnsi="宋体" w:eastAsia="宋体" w:cs="宋体"/>
          <w:sz w:val="28"/>
          <w:szCs w:val="28"/>
        </w:rPr>
        <w:t>政治</w:t>
      </w:r>
      <w:r>
        <w:rPr>
          <w:rFonts w:hint="eastAsia" w:ascii="宋体" w:hAnsi="宋体" w:eastAsia="宋体" w:cs="宋体"/>
          <w:sz w:val="28"/>
          <w:szCs w:val="28"/>
        </w:rPr>
        <w:t>核心</w:t>
      </w:r>
      <w:r>
        <w:rPr>
          <w:rFonts w:ascii="宋体" w:hAnsi="宋体" w:eastAsia="宋体" w:cs="宋体"/>
          <w:sz w:val="28"/>
          <w:szCs w:val="28"/>
        </w:rPr>
        <w:t>素养</w:t>
      </w:r>
      <w:r>
        <w:rPr>
          <w:rFonts w:hint="eastAsia" w:ascii="宋体" w:hAnsi="宋体" w:eastAsia="宋体" w:cs="宋体"/>
          <w:sz w:val="28"/>
          <w:szCs w:val="28"/>
        </w:rPr>
        <w:t>32个</w:t>
      </w:r>
      <w:r>
        <w:rPr>
          <w:rFonts w:ascii="宋体" w:hAnsi="宋体" w:eastAsia="宋体" w:cs="宋体"/>
          <w:sz w:val="28"/>
          <w:szCs w:val="28"/>
        </w:rPr>
        <w:t>要点”</w:t>
      </w:r>
      <w:r>
        <w:rPr>
          <w:rFonts w:hint="eastAsia" w:ascii="宋体" w:hAnsi="宋体" w:eastAsia="宋体" w:cs="宋体"/>
          <w:sz w:val="28"/>
          <w:szCs w:val="28"/>
        </w:rPr>
        <w:t>和“未来工程师</w:t>
      </w:r>
      <w:r>
        <w:rPr>
          <w:rFonts w:ascii="宋体" w:hAnsi="宋体" w:eastAsia="宋体" w:cs="宋体"/>
          <w:sz w:val="28"/>
          <w:szCs w:val="28"/>
        </w:rPr>
        <w:t>‘ASciT</w:t>
      </w:r>
      <w:r>
        <w:rPr>
          <w:rFonts w:hint="eastAsia" w:ascii="宋体" w:hAnsi="宋体" w:eastAsia="宋体" w:cs="宋体"/>
          <w:sz w:val="28"/>
          <w:szCs w:val="28"/>
        </w:rPr>
        <w:t>（爱科技）</w:t>
      </w:r>
      <w:r>
        <w:rPr>
          <w:rFonts w:ascii="宋体" w:hAnsi="宋体" w:eastAsia="宋体" w:cs="宋体"/>
          <w:sz w:val="28"/>
          <w:szCs w:val="28"/>
        </w:rPr>
        <w:t>’9</w:t>
      </w:r>
      <w:r>
        <w:rPr>
          <w:rFonts w:hint="eastAsia" w:ascii="宋体" w:hAnsi="宋体" w:eastAsia="宋体" w:cs="宋体"/>
          <w:sz w:val="28"/>
          <w:szCs w:val="28"/>
        </w:rPr>
        <w:t>大</w:t>
      </w:r>
      <w:r>
        <w:rPr>
          <w:rFonts w:ascii="宋体" w:hAnsi="宋体" w:eastAsia="宋体" w:cs="宋体"/>
          <w:sz w:val="28"/>
          <w:szCs w:val="28"/>
        </w:rPr>
        <w:t>关键能力</w:t>
      </w:r>
      <w:r>
        <w:rPr>
          <w:rFonts w:hint="eastAsia" w:ascii="宋体" w:hAnsi="宋体" w:eastAsia="宋体" w:cs="宋体"/>
          <w:sz w:val="28"/>
          <w:szCs w:val="28"/>
        </w:rPr>
        <w:t>”，</w:t>
      </w:r>
      <w:r>
        <w:rPr>
          <w:rFonts w:ascii="宋体" w:hAnsi="宋体" w:eastAsia="宋体" w:cs="宋体"/>
          <w:sz w:val="28"/>
          <w:szCs w:val="28"/>
        </w:rPr>
        <w:t>不仅丰富了“</w:t>
      </w:r>
      <w:r>
        <w:rPr>
          <w:rFonts w:hint="eastAsia" w:ascii="宋体" w:hAnsi="宋体" w:eastAsia="宋体" w:cs="宋体"/>
          <w:sz w:val="28"/>
          <w:szCs w:val="28"/>
        </w:rPr>
        <w:t>厚德精技</w:t>
      </w:r>
      <w:r>
        <w:rPr>
          <w:rFonts w:ascii="宋体" w:hAnsi="宋体" w:eastAsia="宋体" w:cs="宋体"/>
          <w:sz w:val="28"/>
          <w:szCs w:val="28"/>
        </w:rPr>
        <w:t>”</w:t>
      </w:r>
      <w:r>
        <w:rPr>
          <w:rFonts w:hint="eastAsia" w:ascii="宋体" w:hAnsi="宋体" w:eastAsia="宋体" w:cs="宋体"/>
          <w:sz w:val="28"/>
          <w:szCs w:val="28"/>
        </w:rPr>
        <w:t>的</w:t>
      </w:r>
      <w:r>
        <w:rPr>
          <w:rFonts w:ascii="宋体" w:hAnsi="宋体" w:eastAsia="宋体" w:cs="宋体"/>
          <w:sz w:val="28"/>
          <w:szCs w:val="28"/>
        </w:rPr>
        <w:t>基本内涵，也为</w:t>
      </w:r>
      <w:r>
        <w:rPr>
          <w:rFonts w:hint="eastAsia" w:ascii="宋体" w:hAnsi="宋体" w:eastAsia="宋体" w:cs="宋体"/>
          <w:sz w:val="28"/>
          <w:szCs w:val="28"/>
        </w:rPr>
        <w:t>下一阶段思想</w:t>
      </w:r>
      <w:r>
        <w:rPr>
          <w:rFonts w:ascii="宋体" w:hAnsi="宋体" w:eastAsia="宋体" w:cs="宋体"/>
          <w:sz w:val="28"/>
          <w:szCs w:val="28"/>
        </w:rPr>
        <w:t>政治教育</w:t>
      </w:r>
      <w:r>
        <w:rPr>
          <w:rFonts w:hint="eastAsia" w:ascii="宋体" w:hAnsi="宋体" w:eastAsia="宋体" w:cs="宋体"/>
          <w:sz w:val="28"/>
          <w:szCs w:val="28"/>
        </w:rPr>
        <w:t>目标</w:t>
      </w:r>
      <w:r>
        <w:rPr>
          <w:rFonts w:ascii="宋体" w:hAnsi="宋体" w:eastAsia="宋体" w:cs="宋体"/>
          <w:sz w:val="28"/>
          <w:szCs w:val="28"/>
        </w:rPr>
        <w:t>体系的</w:t>
      </w:r>
      <w:r>
        <w:rPr>
          <w:rFonts w:hint="eastAsia" w:ascii="宋体" w:hAnsi="宋体" w:eastAsia="宋体" w:cs="宋体"/>
          <w:sz w:val="28"/>
          <w:szCs w:val="28"/>
        </w:rPr>
        <w:t>分解</w:t>
      </w:r>
      <w:r>
        <w:rPr>
          <w:rFonts w:ascii="宋体" w:hAnsi="宋体" w:eastAsia="宋体" w:cs="宋体"/>
          <w:sz w:val="28"/>
          <w:szCs w:val="28"/>
        </w:rPr>
        <w:t>提供了</w:t>
      </w:r>
      <w:r>
        <w:rPr>
          <w:rFonts w:hint="eastAsia" w:ascii="宋体" w:hAnsi="宋体" w:eastAsia="宋体" w:cs="宋体"/>
          <w:sz w:val="28"/>
          <w:szCs w:val="28"/>
        </w:rPr>
        <w:t>基本</w:t>
      </w:r>
      <w:r>
        <w:rPr>
          <w:rFonts w:ascii="宋体" w:hAnsi="宋体" w:eastAsia="宋体" w:cs="宋体"/>
          <w:sz w:val="28"/>
          <w:szCs w:val="28"/>
        </w:rPr>
        <w:t>框架和</w:t>
      </w:r>
      <w:r>
        <w:rPr>
          <w:rFonts w:hint="eastAsia" w:ascii="宋体" w:hAnsi="宋体" w:eastAsia="宋体" w:cs="宋体"/>
          <w:sz w:val="28"/>
          <w:szCs w:val="28"/>
        </w:rPr>
        <w:t>抓手</w:t>
      </w:r>
      <w:r>
        <w:rPr>
          <w:rFonts w:ascii="宋体" w:hAnsi="宋体" w:eastAsia="宋体" w:cs="宋体"/>
          <w:sz w:val="28"/>
          <w:szCs w:val="28"/>
        </w:rPr>
        <w:t>。</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专业</w:t>
      </w:r>
      <w:r>
        <w:rPr>
          <w:rFonts w:ascii="宋体" w:hAnsi="宋体" w:eastAsia="宋体" w:cs="宋体"/>
          <w:sz w:val="28"/>
          <w:szCs w:val="28"/>
        </w:rPr>
        <w:t>培养</w:t>
      </w:r>
      <w:r>
        <w:rPr>
          <w:rFonts w:hint="eastAsia" w:ascii="宋体" w:hAnsi="宋体" w:eastAsia="宋体" w:cs="宋体"/>
          <w:sz w:val="28"/>
          <w:szCs w:val="28"/>
        </w:rPr>
        <w:t>目标通常是</w:t>
      </w:r>
      <w:r>
        <w:rPr>
          <w:rFonts w:ascii="宋体" w:hAnsi="宋体" w:eastAsia="宋体" w:cs="宋体"/>
          <w:sz w:val="28"/>
          <w:szCs w:val="28"/>
        </w:rPr>
        <w:t>指学生在毕业</w:t>
      </w:r>
      <w:r>
        <w:rPr>
          <w:rFonts w:hint="eastAsia" w:ascii="宋体" w:hAnsi="宋体" w:eastAsia="宋体" w:cs="宋体"/>
          <w:sz w:val="28"/>
          <w:szCs w:val="28"/>
        </w:rPr>
        <w:t>5年</w:t>
      </w:r>
      <w:r>
        <w:rPr>
          <w:rFonts w:ascii="宋体" w:hAnsi="宋体" w:eastAsia="宋体" w:cs="宋体"/>
          <w:sz w:val="28"/>
          <w:szCs w:val="28"/>
        </w:rPr>
        <w:t>后</w:t>
      </w:r>
      <w:r>
        <w:rPr>
          <w:rFonts w:hint="eastAsia" w:ascii="宋体" w:hAnsi="宋体" w:eastAsia="宋体" w:cs="宋体"/>
          <w:sz w:val="28"/>
          <w:szCs w:val="28"/>
        </w:rPr>
        <w:t>所能达到</w:t>
      </w:r>
      <w:r>
        <w:rPr>
          <w:rFonts w:ascii="宋体" w:hAnsi="宋体" w:eastAsia="宋体" w:cs="宋体"/>
          <w:sz w:val="28"/>
          <w:szCs w:val="28"/>
        </w:rPr>
        <w:t>的</w:t>
      </w:r>
      <w:r>
        <w:rPr>
          <w:rFonts w:hint="eastAsia" w:ascii="宋体" w:hAnsi="宋体" w:eastAsia="宋体" w:cs="宋体"/>
          <w:sz w:val="28"/>
          <w:szCs w:val="28"/>
        </w:rPr>
        <w:t>预期</w:t>
      </w:r>
      <w:r>
        <w:rPr>
          <w:rFonts w:ascii="宋体" w:hAnsi="宋体" w:eastAsia="宋体" w:cs="宋体"/>
          <w:sz w:val="28"/>
          <w:szCs w:val="28"/>
        </w:rPr>
        <w:t>成就</w:t>
      </w:r>
      <w:r>
        <w:rPr>
          <w:rFonts w:hint="eastAsia" w:ascii="宋体" w:hAnsi="宋体" w:eastAsia="宋体" w:cs="宋体"/>
          <w:sz w:val="28"/>
          <w:szCs w:val="28"/>
        </w:rPr>
        <w:t>。表2中</w:t>
      </w:r>
      <w:r>
        <w:rPr>
          <w:rFonts w:ascii="宋体" w:hAnsi="宋体" w:eastAsia="宋体" w:cs="宋体"/>
          <w:sz w:val="28"/>
          <w:szCs w:val="28"/>
        </w:rPr>
        <w:t>，土木工程专业</w:t>
      </w:r>
      <w:r>
        <w:rPr>
          <w:rFonts w:hint="eastAsia" w:ascii="宋体" w:hAnsi="宋体" w:eastAsia="宋体" w:cs="宋体"/>
          <w:sz w:val="28"/>
          <w:szCs w:val="28"/>
        </w:rPr>
        <w:t>基于</w:t>
      </w:r>
      <w:r>
        <w:rPr>
          <w:rFonts w:ascii="宋体" w:hAnsi="宋体" w:eastAsia="宋体" w:cs="宋体"/>
          <w:sz w:val="28"/>
          <w:szCs w:val="28"/>
        </w:rPr>
        <w:t>学校定位</w:t>
      </w:r>
      <w:r>
        <w:rPr>
          <w:rFonts w:hint="eastAsia" w:ascii="宋体" w:hAnsi="宋体" w:eastAsia="宋体" w:cs="宋体"/>
          <w:sz w:val="28"/>
          <w:szCs w:val="28"/>
        </w:rPr>
        <w:t>进一步</w:t>
      </w:r>
      <w:r>
        <w:rPr>
          <w:rFonts w:ascii="宋体" w:hAnsi="宋体" w:eastAsia="宋体" w:cs="宋体"/>
          <w:sz w:val="28"/>
          <w:szCs w:val="28"/>
        </w:rPr>
        <w:t>提出了培养一线土木工程师</w:t>
      </w:r>
      <w:r>
        <w:rPr>
          <w:rFonts w:hint="eastAsia" w:ascii="宋体" w:hAnsi="宋体" w:eastAsia="宋体" w:cs="宋体"/>
          <w:sz w:val="28"/>
          <w:szCs w:val="28"/>
        </w:rPr>
        <w:t>这一</w:t>
      </w:r>
      <w:r>
        <w:rPr>
          <w:rFonts w:ascii="宋体" w:hAnsi="宋体" w:eastAsia="宋体" w:cs="宋体"/>
          <w:sz w:val="28"/>
          <w:szCs w:val="28"/>
        </w:rPr>
        <w:t>培养目标，并</w:t>
      </w:r>
      <w:r>
        <w:rPr>
          <w:rFonts w:hint="eastAsia" w:ascii="宋体" w:hAnsi="宋体" w:eastAsia="宋体" w:cs="宋体"/>
          <w:sz w:val="28"/>
          <w:szCs w:val="28"/>
        </w:rPr>
        <w:t>详细</w:t>
      </w:r>
      <w:r>
        <w:rPr>
          <w:rFonts w:ascii="宋体" w:hAnsi="宋体" w:eastAsia="宋体" w:cs="宋体"/>
          <w:sz w:val="28"/>
          <w:szCs w:val="28"/>
        </w:rPr>
        <w:t>分解为目标</w:t>
      </w:r>
      <w:r>
        <w:rPr>
          <w:rFonts w:hint="eastAsia" w:ascii="宋体" w:hAnsi="宋体" w:eastAsia="宋体" w:cs="宋体"/>
          <w:sz w:val="28"/>
          <w:szCs w:val="28"/>
        </w:rPr>
        <w:t>A、B、C、D、E等5个</w:t>
      </w:r>
      <w:r>
        <w:rPr>
          <w:rFonts w:ascii="宋体" w:hAnsi="宋体" w:eastAsia="宋体" w:cs="宋体"/>
          <w:sz w:val="28"/>
          <w:szCs w:val="28"/>
        </w:rPr>
        <w:t>子</w:t>
      </w:r>
      <w:r>
        <w:rPr>
          <w:rFonts w:hint="eastAsia" w:ascii="宋体" w:hAnsi="宋体" w:eastAsia="宋体" w:cs="宋体"/>
          <w:sz w:val="28"/>
          <w:szCs w:val="28"/>
        </w:rPr>
        <w:t>目标</w:t>
      </w:r>
      <w:r>
        <w:rPr>
          <w:rFonts w:ascii="宋体" w:hAnsi="宋体" w:eastAsia="宋体" w:cs="宋体"/>
          <w:sz w:val="28"/>
          <w:szCs w:val="28"/>
        </w:rPr>
        <w:t>项。</w:t>
      </w:r>
      <w:r>
        <w:rPr>
          <w:rFonts w:hint="eastAsia" w:ascii="宋体" w:hAnsi="宋体" w:eastAsia="宋体" w:cs="宋体"/>
          <w:sz w:val="28"/>
          <w:szCs w:val="28"/>
        </w:rPr>
        <w:t>其中，</w:t>
      </w:r>
      <w:r>
        <w:rPr>
          <w:rFonts w:ascii="宋体" w:hAnsi="宋体" w:eastAsia="宋体" w:cs="宋体"/>
          <w:sz w:val="28"/>
          <w:szCs w:val="28"/>
        </w:rPr>
        <w:t>目标</w:t>
      </w:r>
      <w:r>
        <w:rPr>
          <w:rFonts w:hint="eastAsia" w:ascii="宋体" w:hAnsi="宋体" w:eastAsia="宋体" w:cs="宋体"/>
          <w:sz w:val="28"/>
          <w:szCs w:val="28"/>
        </w:rPr>
        <w:t>D集中</w:t>
      </w:r>
      <w:r>
        <w:rPr>
          <w:rFonts w:ascii="宋体" w:hAnsi="宋体" w:eastAsia="宋体" w:cs="宋体"/>
          <w:sz w:val="28"/>
          <w:szCs w:val="28"/>
        </w:rPr>
        <w:t>体现了</w:t>
      </w:r>
      <w:r>
        <w:rPr>
          <w:rFonts w:hint="eastAsia" w:ascii="宋体" w:hAnsi="宋体" w:eastAsia="宋体" w:cs="宋体"/>
          <w:sz w:val="28"/>
          <w:szCs w:val="28"/>
        </w:rPr>
        <w:t>对</w:t>
      </w:r>
      <w:r>
        <w:rPr>
          <w:rFonts w:ascii="宋体" w:hAnsi="宋体" w:eastAsia="宋体" w:cs="宋体"/>
          <w:sz w:val="28"/>
          <w:szCs w:val="28"/>
        </w:rPr>
        <w:t>学生</w:t>
      </w:r>
      <w:r>
        <w:rPr>
          <w:rFonts w:hint="eastAsia" w:ascii="宋体" w:hAnsi="宋体" w:eastAsia="宋体" w:cs="宋体"/>
          <w:sz w:val="28"/>
          <w:szCs w:val="28"/>
        </w:rPr>
        <w:t>在思想政治素质方面</w:t>
      </w:r>
      <w:r>
        <w:rPr>
          <w:rFonts w:ascii="宋体" w:hAnsi="宋体" w:eastAsia="宋体" w:cs="宋体"/>
          <w:sz w:val="28"/>
          <w:szCs w:val="28"/>
        </w:rPr>
        <w:t>的预期要求，并基于专业特点重点强调</w:t>
      </w:r>
      <w:r>
        <w:rPr>
          <w:rFonts w:hint="eastAsia" w:ascii="宋体" w:hAnsi="宋体" w:eastAsia="宋体" w:cs="宋体"/>
          <w:sz w:val="28"/>
          <w:szCs w:val="28"/>
        </w:rPr>
        <w:t>人文科学素养、安全责任意识、职业道德和社会责任。</w:t>
      </w:r>
    </w:p>
    <w:p>
      <w:pPr>
        <w:spacing w:line="360" w:lineRule="auto"/>
        <w:ind w:firstLine="560" w:firstLineChars="200"/>
        <w:rPr>
          <w:rFonts w:ascii="宋体" w:hAnsi="宋体" w:eastAsia="宋体" w:cs="宋体"/>
          <w:sz w:val="28"/>
          <w:szCs w:val="28"/>
        </w:rPr>
      </w:pPr>
      <w:r>
        <w:rPr>
          <w:rFonts w:ascii="宋体" w:hAnsi="宋体" w:eastAsia="宋体" w:cs="宋体"/>
          <w:sz w:val="28"/>
          <w:szCs w:val="28"/>
        </w:rPr>
        <w:t>毕业要求</w:t>
      </w:r>
      <w:r>
        <w:rPr>
          <w:rFonts w:hint="eastAsia" w:ascii="宋体" w:hAnsi="宋体" w:eastAsia="宋体" w:cs="宋体"/>
          <w:sz w:val="28"/>
          <w:szCs w:val="28"/>
        </w:rPr>
        <w:t>又称</w:t>
      </w:r>
      <w:r>
        <w:rPr>
          <w:rFonts w:ascii="宋体" w:hAnsi="宋体" w:eastAsia="宋体" w:cs="宋体"/>
          <w:sz w:val="28"/>
          <w:szCs w:val="28"/>
        </w:rPr>
        <w:t>培养规格，是学生毕业时所应</w:t>
      </w:r>
      <w:r>
        <w:rPr>
          <w:rFonts w:hint="eastAsia" w:ascii="宋体" w:hAnsi="宋体" w:eastAsia="宋体" w:cs="宋体"/>
          <w:sz w:val="28"/>
          <w:szCs w:val="28"/>
        </w:rPr>
        <w:t>达到</w:t>
      </w:r>
      <w:r>
        <w:rPr>
          <w:rFonts w:ascii="宋体" w:hAnsi="宋体" w:eastAsia="宋体" w:cs="宋体"/>
          <w:sz w:val="28"/>
          <w:szCs w:val="28"/>
        </w:rPr>
        <w:t>的</w:t>
      </w:r>
      <w:r>
        <w:rPr>
          <w:rFonts w:hint="eastAsia" w:ascii="宋体" w:hAnsi="宋体" w:eastAsia="宋体" w:cs="宋体"/>
          <w:sz w:val="28"/>
          <w:szCs w:val="28"/>
        </w:rPr>
        <w:t>素质能力</w:t>
      </w:r>
      <w:r>
        <w:rPr>
          <w:rFonts w:ascii="宋体" w:hAnsi="宋体" w:eastAsia="宋体" w:cs="宋体"/>
          <w:sz w:val="28"/>
          <w:szCs w:val="28"/>
        </w:rPr>
        <w:t>水平</w:t>
      </w:r>
      <w:r>
        <w:rPr>
          <w:rFonts w:hint="eastAsia" w:ascii="宋体" w:hAnsi="宋体" w:eastAsia="宋体" w:cs="宋体"/>
          <w:sz w:val="28"/>
          <w:szCs w:val="28"/>
        </w:rPr>
        <w:t>，</w:t>
      </w:r>
      <w:r>
        <w:rPr>
          <w:rFonts w:ascii="宋体" w:hAnsi="宋体" w:eastAsia="宋体" w:cs="宋体"/>
          <w:sz w:val="28"/>
          <w:szCs w:val="28"/>
        </w:rPr>
        <w:t>主要从学生“</w:t>
      </w:r>
      <w:r>
        <w:rPr>
          <w:rFonts w:hint="eastAsia" w:ascii="宋体" w:hAnsi="宋体" w:eastAsia="宋体" w:cs="宋体"/>
          <w:sz w:val="28"/>
          <w:szCs w:val="28"/>
        </w:rPr>
        <w:t>能做什么</w:t>
      </w:r>
      <w:r>
        <w:rPr>
          <w:rFonts w:ascii="宋体" w:hAnsi="宋体" w:eastAsia="宋体" w:cs="宋体"/>
          <w:sz w:val="28"/>
          <w:szCs w:val="28"/>
        </w:rPr>
        <w:t>”“</w:t>
      </w:r>
      <w:r>
        <w:rPr>
          <w:rFonts w:hint="eastAsia" w:ascii="宋体" w:hAnsi="宋体" w:eastAsia="宋体" w:cs="宋体"/>
          <w:sz w:val="28"/>
          <w:szCs w:val="28"/>
        </w:rPr>
        <w:t>该</w:t>
      </w:r>
      <w:r>
        <w:rPr>
          <w:rFonts w:ascii="宋体" w:hAnsi="宋体" w:eastAsia="宋体" w:cs="宋体"/>
          <w:sz w:val="28"/>
          <w:szCs w:val="28"/>
        </w:rPr>
        <w:t>做什么”</w:t>
      </w:r>
      <w:r>
        <w:rPr>
          <w:rFonts w:hint="eastAsia" w:ascii="宋体" w:hAnsi="宋体" w:eastAsia="宋体" w:cs="宋体"/>
          <w:sz w:val="28"/>
          <w:szCs w:val="28"/>
        </w:rPr>
        <w:t>和“</w:t>
      </w:r>
      <w:r>
        <w:rPr>
          <w:rFonts w:ascii="宋体" w:hAnsi="宋体" w:eastAsia="宋体" w:cs="宋体"/>
          <w:sz w:val="28"/>
          <w:szCs w:val="28"/>
        </w:rPr>
        <w:t>会做什么”</w:t>
      </w:r>
      <w:r>
        <w:rPr>
          <w:rFonts w:hint="eastAsia" w:ascii="宋体" w:hAnsi="宋体" w:eastAsia="宋体" w:cs="宋体"/>
          <w:sz w:val="28"/>
          <w:szCs w:val="28"/>
        </w:rPr>
        <w:t>3个</w:t>
      </w:r>
      <w:r>
        <w:rPr>
          <w:rFonts w:ascii="宋体" w:hAnsi="宋体" w:eastAsia="宋体" w:cs="宋体"/>
          <w:sz w:val="28"/>
          <w:szCs w:val="28"/>
        </w:rPr>
        <w:t>方面</w:t>
      </w:r>
      <w:r>
        <w:rPr>
          <w:rFonts w:hint="eastAsia" w:ascii="宋体" w:hAnsi="宋体" w:eastAsia="宋体" w:cs="宋体"/>
          <w:sz w:val="28"/>
          <w:szCs w:val="28"/>
        </w:rPr>
        <w:t>形成</w:t>
      </w:r>
      <w:r>
        <w:rPr>
          <w:rFonts w:ascii="宋体" w:hAnsi="宋体" w:eastAsia="宋体" w:cs="宋体"/>
          <w:sz w:val="28"/>
          <w:szCs w:val="28"/>
        </w:rPr>
        <w:t>学生的</w:t>
      </w:r>
      <w:r>
        <w:rPr>
          <w:rFonts w:hint="eastAsia" w:ascii="宋体" w:hAnsi="宋体" w:eastAsia="宋体" w:cs="宋体"/>
          <w:sz w:val="28"/>
          <w:szCs w:val="28"/>
        </w:rPr>
        <w:t>“专业脸谱”。表2中</w:t>
      </w:r>
      <w:r>
        <w:rPr>
          <w:rFonts w:ascii="宋体" w:hAnsi="宋体" w:eastAsia="宋体" w:cs="宋体"/>
          <w:sz w:val="28"/>
          <w:szCs w:val="28"/>
        </w:rPr>
        <w:t>的土木工程专业制定了</w:t>
      </w:r>
      <w:r>
        <w:rPr>
          <w:rFonts w:hint="eastAsia" w:ascii="宋体" w:hAnsi="宋体" w:eastAsia="宋体" w:cs="宋体"/>
          <w:sz w:val="28"/>
          <w:szCs w:val="28"/>
        </w:rPr>
        <w:t>11条毕业</w:t>
      </w:r>
      <w:r>
        <w:rPr>
          <w:rFonts w:ascii="宋体" w:hAnsi="宋体" w:eastAsia="宋体" w:cs="宋体"/>
          <w:sz w:val="28"/>
          <w:szCs w:val="28"/>
        </w:rPr>
        <w:t>要求</w:t>
      </w:r>
      <w:r>
        <w:rPr>
          <w:rFonts w:hint="eastAsia" w:ascii="宋体" w:hAnsi="宋体" w:eastAsia="宋体" w:cs="宋体"/>
          <w:sz w:val="28"/>
          <w:szCs w:val="28"/>
        </w:rPr>
        <w:t>，其中</w:t>
      </w:r>
      <w:r>
        <w:rPr>
          <w:rFonts w:ascii="宋体" w:hAnsi="宋体" w:eastAsia="宋体" w:cs="宋体"/>
          <w:sz w:val="28"/>
          <w:szCs w:val="28"/>
        </w:rPr>
        <w:t>既包含与学科</w:t>
      </w:r>
      <w:r>
        <w:rPr>
          <w:rFonts w:hint="eastAsia" w:ascii="宋体" w:hAnsi="宋体" w:eastAsia="宋体" w:cs="宋体"/>
          <w:sz w:val="28"/>
          <w:szCs w:val="28"/>
        </w:rPr>
        <w:t>专业知识</w:t>
      </w:r>
      <w:r>
        <w:rPr>
          <w:rFonts w:ascii="宋体" w:hAnsi="宋体" w:eastAsia="宋体" w:cs="宋体"/>
          <w:sz w:val="28"/>
          <w:szCs w:val="28"/>
        </w:rPr>
        <w:t>直接相关的“</w:t>
      </w:r>
      <w:r>
        <w:rPr>
          <w:rFonts w:hint="eastAsia" w:ascii="宋体" w:hAnsi="宋体" w:eastAsia="宋体" w:cs="宋体"/>
          <w:sz w:val="28"/>
          <w:szCs w:val="28"/>
        </w:rPr>
        <w:t>认知性</w:t>
      </w:r>
      <w:r>
        <w:rPr>
          <w:rFonts w:ascii="宋体" w:hAnsi="宋体" w:eastAsia="宋体" w:cs="宋体"/>
          <w:sz w:val="28"/>
          <w:szCs w:val="28"/>
        </w:rPr>
        <w:t>素养”</w:t>
      </w:r>
      <w:r>
        <w:rPr>
          <w:rFonts w:hint="eastAsia" w:ascii="宋体" w:hAnsi="宋体" w:eastAsia="宋体" w:cs="宋体"/>
          <w:sz w:val="28"/>
          <w:szCs w:val="28"/>
        </w:rPr>
        <w:t>，</w:t>
      </w:r>
      <w:r>
        <w:rPr>
          <w:rFonts w:ascii="宋体" w:hAnsi="宋体" w:eastAsia="宋体" w:cs="宋体"/>
          <w:sz w:val="28"/>
          <w:szCs w:val="28"/>
        </w:rPr>
        <w:t>也包括可迁移的</w:t>
      </w:r>
      <w:r>
        <w:rPr>
          <w:rFonts w:hint="eastAsia" w:ascii="宋体" w:hAnsi="宋体" w:eastAsia="宋体" w:cs="宋体"/>
          <w:sz w:val="28"/>
          <w:szCs w:val="28"/>
        </w:rPr>
        <w:t>、</w:t>
      </w:r>
      <w:r>
        <w:rPr>
          <w:rFonts w:ascii="宋体" w:hAnsi="宋体" w:eastAsia="宋体" w:cs="宋体"/>
          <w:sz w:val="28"/>
          <w:szCs w:val="28"/>
        </w:rPr>
        <w:t>反映综合素质的“</w:t>
      </w:r>
      <w:r>
        <w:rPr>
          <w:rFonts w:hint="eastAsia" w:ascii="宋体" w:hAnsi="宋体" w:eastAsia="宋体" w:cs="宋体"/>
          <w:sz w:val="28"/>
          <w:szCs w:val="28"/>
        </w:rPr>
        <w:t>非认知性</w:t>
      </w:r>
      <w:r>
        <w:rPr>
          <w:rFonts w:ascii="宋体" w:hAnsi="宋体" w:eastAsia="宋体" w:cs="宋体"/>
          <w:sz w:val="28"/>
          <w:szCs w:val="28"/>
        </w:rPr>
        <w:t>素养”</w:t>
      </w:r>
      <w:r>
        <w:rPr>
          <w:rFonts w:hint="eastAsia" w:ascii="宋体" w:hAnsi="宋体" w:eastAsia="宋体" w:cs="宋体"/>
          <w:sz w:val="28"/>
          <w:szCs w:val="28"/>
        </w:rPr>
        <w:t>。1</w:t>
      </w:r>
      <w:r>
        <w:rPr>
          <w:rFonts w:ascii="宋体" w:hAnsi="宋体" w:eastAsia="宋体" w:cs="宋体"/>
          <w:sz w:val="28"/>
          <w:szCs w:val="28"/>
        </w:rPr>
        <w:t>1条</w:t>
      </w:r>
      <w:r>
        <w:rPr>
          <w:rFonts w:hint="eastAsia" w:ascii="宋体" w:hAnsi="宋体" w:eastAsia="宋体" w:cs="宋体"/>
          <w:sz w:val="28"/>
          <w:szCs w:val="28"/>
        </w:rPr>
        <w:t>毕业</w:t>
      </w:r>
      <w:r>
        <w:rPr>
          <w:rFonts w:ascii="宋体" w:hAnsi="宋体" w:eastAsia="宋体" w:cs="宋体"/>
          <w:sz w:val="28"/>
          <w:szCs w:val="28"/>
        </w:rPr>
        <w:t>要求</w:t>
      </w:r>
      <w:r>
        <w:rPr>
          <w:rFonts w:hint="eastAsia" w:ascii="宋体" w:hAnsi="宋体" w:eastAsia="宋体" w:cs="宋体"/>
          <w:sz w:val="28"/>
          <w:szCs w:val="28"/>
        </w:rPr>
        <w:t>又分解</w:t>
      </w:r>
      <w:r>
        <w:rPr>
          <w:rFonts w:ascii="宋体" w:hAnsi="宋体" w:eastAsia="宋体" w:cs="宋体"/>
          <w:sz w:val="28"/>
          <w:szCs w:val="28"/>
        </w:rPr>
        <w:t>为</w:t>
      </w:r>
      <w:r>
        <w:rPr>
          <w:rFonts w:hint="eastAsia" w:ascii="宋体" w:hAnsi="宋体" w:eastAsia="宋体" w:cs="宋体"/>
          <w:sz w:val="28"/>
          <w:szCs w:val="28"/>
        </w:rPr>
        <w:t>31个二级指标点，</w:t>
      </w:r>
      <w:r>
        <w:rPr>
          <w:rFonts w:ascii="宋体" w:hAnsi="宋体" w:eastAsia="宋体" w:cs="宋体"/>
          <w:sz w:val="28"/>
          <w:szCs w:val="28"/>
        </w:rPr>
        <w:t>共同</w:t>
      </w:r>
      <w:r>
        <w:rPr>
          <w:rFonts w:hint="eastAsia" w:ascii="宋体" w:hAnsi="宋体" w:eastAsia="宋体" w:cs="宋体"/>
          <w:sz w:val="28"/>
          <w:szCs w:val="28"/>
        </w:rPr>
        <w:t>形成</w:t>
      </w:r>
      <w:r>
        <w:rPr>
          <w:rFonts w:ascii="宋体" w:hAnsi="宋体" w:eastAsia="宋体" w:cs="宋体"/>
          <w:sz w:val="28"/>
          <w:szCs w:val="28"/>
        </w:rPr>
        <w:t>对上述</w:t>
      </w:r>
      <w:r>
        <w:rPr>
          <w:rFonts w:hint="eastAsia" w:ascii="宋体" w:hAnsi="宋体" w:eastAsia="宋体" w:cs="宋体"/>
          <w:sz w:val="28"/>
          <w:szCs w:val="28"/>
        </w:rPr>
        <w:t>5个子</w:t>
      </w:r>
      <w:r>
        <w:rPr>
          <w:rFonts w:ascii="宋体" w:hAnsi="宋体" w:eastAsia="宋体" w:cs="宋体"/>
          <w:sz w:val="28"/>
          <w:szCs w:val="28"/>
        </w:rPr>
        <w:t>目标项的支撑。其中</w:t>
      </w:r>
      <w:r>
        <w:rPr>
          <w:rFonts w:hint="eastAsia" w:ascii="宋体" w:hAnsi="宋体" w:eastAsia="宋体" w:cs="宋体"/>
          <w:sz w:val="28"/>
          <w:szCs w:val="28"/>
        </w:rPr>
        <w:t>，</w:t>
      </w:r>
      <w:r>
        <w:rPr>
          <w:rFonts w:ascii="宋体" w:hAnsi="宋体" w:eastAsia="宋体" w:cs="宋体"/>
          <w:sz w:val="28"/>
          <w:szCs w:val="28"/>
        </w:rPr>
        <w:t>目标</w:t>
      </w:r>
      <w:r>
        <w:rPr>
          <w:rFonts w:hint="eastAsia" w:ascii="宋体" w:hAnsi="宋体" w:eastAsia="宋体" w:cs="宋体"/>
          <w:sz w:val="28"/>
          <w:szCs w:val="28"/>
        </w:rPr>
        <w:t>D主要</w:t>
      </w:r>
      <w:r>
        <w:rPr>
          <w:rFonts w:ascii="宋体" w:hAnsi="宋体" w:eastAsia="宋体" w:cs="宋体"/>
          <w:sz w:val="28"/>
          <w:szCs w:val="28"/>
        </w:rPr>
        <w:t>由</w:t>
      </w:r>
      <w:r>
        <w:rPr>
          <w:rFonts w:hint="eastAsia" w:ascii="宋体" w:hAnsi="宋体" w:eastAsia="宋体" w:cs="宋体"/>
          <w:sz w:val="28"/>
          <w:szCs w:val="28"/>
        </w:rPr>
        <w:t>第6、7、8、11条毕业要求提供</w:t>
      </w:r>
      <w:r>
        <w:rPr>
          <w:rFonts w:ascii="宋体" w:hAnsi="宋体" w:eastAsia="宋体" w:cs="宋体"/>
          <w:sz w:val="28"/>
          <w:szCs w:val="28"/>
        </w:rPr>
        <w:t>支撑。</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课程目标是指通过课程学习，在发展学生品德、智力、体力等方面的愿望，是确定课程内容、教学方法的基础。它</w:t>
      </w:r>
      <w:r>
        <w:rPr>
          <w:rFonts w:ascii="宋体" w:hAnsi="宋体" w:eastAsia="宋体" w:cs="宋体"/>
          <w:sz w:val="28"/>
          <w:szCs w:val="28"/>
        </w:rPr>
        <w:t>既可以</w:t>
      </w:r>
      <w:r>
        <w:rPr>
          <w:rFonts w:hint="eastAsia" w:ascii="宋体" w:hAnsi="宋体" w:eastAsia="宋体" w:cs="宋体"/>
          <w:sz w:val="28"/>
          <w:szCs w:val="28"/>
        </w:rPr>
        <w:t>按照横向</w:t>
      </w:r>
      <w:r>
        <w:rPr>
          <w:rFonts w:ascii="宋体" w:hAnsi="宋体" w:eastAsia="宋体" w:cs="宋体"/>
          <w:sz w:val="28"/>
          <w:szCs w:val="28"/>
        </w:rPr>
        <w:t>维度</w:t>
      </w:r>
      <w:r>
        <w:rPr>
          <w:rFonts w:hint="eastAsia" w:ascii="宋体" w:hAnsi="宋体" w:eastAsia="宋体" w:cs="宋体"/>
          <w:sz w:val="28"/>
          <w:szCs w:val="28"/>
        </w:rPr>
        <w:t>进行</w:t>
      </w:r>
      <w:r>
        <w:rPr>
          <w:rFonts w:ascii="宋体" w:hAnsi="宋体" w:eastAsia="宋体" w:cs="宋体"/>
          <w:sz w:val="28"/>
          <w:szCs w:val="28"/>
        </w:rPr>
        <w:t>划分（</w:t>
      </w:r>
      <w:r>
        <w:rPr>
          <w:rFonts w:hint="eastAsia" w:ascii="宋体" w:hAnsi="宋体" w:eastAsia="宋体" w:cs="宋体"/>
          <w:sz w:val="28"/>
          <w:szCs w:val="28"/>
        </w:rPr>
        <w:t>如</w:t>
      </w:r>
      <w:r>
        <w:rPr>
          <w:rFonts w:ascii="宋体" w:hAnsi="宋体" w:eastAsia="宋体" w:cs="宋体"/>
          <w:sz w:val="28"/>
          <w:szCs w:val="28"/>
        </w:rPr>
        <w:t>知识与技能、过程与方法、情感态度价值观）</w:t>
      </w:r>
      <w:r>
        <w:rPr>
          <w:rFonts w:hint="eastAsia" w:ascii="宋体" w:hAnsi="宋体" w:eastAsia="宋体" w:cs="宋体"/>
          <w:sz w:val="28"/>
          <w:szCs w:val="28"/>
        </w:rPr>
        <w:t>，</w:t>
      </w:r>
      <w:r>
        <w:rPr>
          <w:rFonts w:ascii="宋体" w:hAnsi="宋体" w:eastAsia="宋体" w:cs="宋体"/>
          <w:sz w:val="28"/>
          <w:szCs w:val="28"/>
        </w:rPr>
        <w:t>也可以按照纵向维度</w:t>
      </w:r>
      <w:r>
        <w:rPr>
          <w:rFonts w:hint="eastAsia" w:ascii="宋体" w:hAnsi="宋体" w:eastAsia="宋体" w:cs="宋体"/>
          <w:sz w:val="28"/>
          <w:szCs w:val="28"/>
        </w:rPr>
        <w:t>进行</w:t>
      </w:r>
      <w:r>
        <w:rPr>
          <w:rFonts w:ascii="宋体" w:hAnsi="宋体" w:eastAsia="宋体" w:cs="宋体"/>
          <w:sz w:val="28"/>
          <w:szCs w:val="28"/>
        </w:rPr>
        <w:t>划分（</w:t>
      </w:r>
      <w:r>
        <w:rPr>
          <w:rFonts w:hint="eastAsia" w:ascii="宋体" w:hAnsi="宋体" w:eastAsia="宋体" w:cs="宋体"/>
          <w:sz w:val="28"/>
          <w:szCs w:val="28"/>
        </w:rPr>
        <w:t>如</w:t>
      </w:r>
      <w:r>
        <w:rPr>
          <w:rFonts w:ascii="宋体" w:hAnsi="宋体" w:eastAsia="宋体" w:cs="宋体"/>
          <w:sz w:val="28"/>
          <w:szCs w:val="28"/>
        </w:rPr>
        <w:t>记忆-理解-运用-分析-评价-创造）</w:t>
      </w:r>
      <w:r>
        <w:rPr>
          <w:rFonts w:hint="eastAsia" w:ascii="宋体" w:hAnsi="宋体" w:eastAsia="宋体" w:cs="宋体"/>
          <w:sz w:val="28"/>
          <w:szCs w:val="28"/>
        </w:rPr>
        <w:t>。课程目标与毕业要求形成对应支撑关系。</w:t>
      </w:r>
      <w:r>
        <w:rPr>
          <w:rFonts w:ascii="宋体" w:hAnsi="宋体" w:eastAsia="宋体" w:cs="宋体"/>
          <w:sz w:val="28"/>
          <w:szCs w:val="28"/>
        </w:rPr>
        <w:t>通常</w:t>
      </w:r>
      <w:r>
        <w:rPr>
          <w:rFonts w:hint="eastAsia" w:ascii="宋体" w:hAnsi="宋体" w:eastAsia="宋体" w:cs="宋体"/>
          <w:sz w:val="28"/>
          <w:szCs w:val="28"/>
        </w:rPr>
        <w:t>来说</w:t>
      </w:r>
      <w:r>
        <w:rPr>
          <w:rFonts w:ascii="宋体" w:hAnsi="宋体" w:eastAsia="宋体" w:cs="宋体"/>
          <w:sz w:val="28"/>
          <w:szCs w:val="28"/>
        </w:rPr>
        <w:t>，一条毕业要求</w:t>
      </w:r>
      <w:r>
        <w:rPr>
          <w:rFonts w:hint="eastAsia" w:ascii="宋体" w:hAnsi="宋体" w:eastAsia="宋体" w:cs="宋体"/>
          <w:sz w:val="28"/>
          <w:szCs w:val="28"/>
        </w:rPr>
        <w:t>需要由</w:t>
      </w:r>
      <w:r>
        <w:rPr>
          <w:rFonts w:ascii="宋体" w:hAnsi="宋体" w:eastAsia="宋体" w:cs="宋体"/>
          <w:sz w:val="28"/>
          <w:szCs w:val="28"/>
        </w:rPr>
        <w:t>多门课程共同支撑，一门课程的课程目标也可以同时</w:t>
      </w:r>
      <w:r>
        <w:rPr>
          <w:rFonts w:hint="eastAsia" w:ascii="宋体" w:hAnsi="宋体" w:eastAsia="宋体" w:cs="宋体"/>
          <w:sz w:val="28"/>
          <w:szCs w:val="28"/>
        </w:rPr>
        <w:t>支撑</w:t>
      </w:r>
      <w:r>
        <w:rPr>
          <w:rFonts w:ascii="宋体" w:hAnsi="宋体" w:eastAsia="宋体" w:cs="宋体"/>
          <w:sz w:val="28"/>
          <w:szCs w:val="28"/>
        </w:rPr>
        <w:t>多条毕业要求。表</w:t>
      </w:r>
      <w:r>
        <w:rPr>
          <w:rFonts w:hint="eastAsia" w:ascii="宋体" w:hAnsi="宋体" w:eastAsia="宋体" w:cs="宋体"/>
          <w:sz w:val="28"/>
          <w:szCs w:val="28"/>
        </w:rPr>
        <w:t>3-2中，毕业</w:t>
      </w:r>
      <w:r>
        <w:rPr>
          <w:rFonts w:ascii="宋体" w:hAnsi="宋体" w:eastAsia="宋体" w:cs="宋体"/>
          <w:sz w:val="28"/>
          <w:szCs w:val="28"/>
        </w:rPr>
        <w:t>要求</w:t>
      </w:r>
      <w:r>
        <w:rPr>
          <w:rFonts w:hint="eastAsia" w:ascii="宋体" w:hAnsi="宋体" w:eastAsia="宋体" w:cs="宋体"/>
          <w:sz w:val="28"/>
          <w:szCs w:val="28"/>
        </w:rPr>
        <w:t>6.2主要</w:t>
      </w:r>
      <w:r>
        <w:rPr>
          <w:rFonts w:ascii="宋体" w:hAnsi="宋体" w:eastAsia="宋体" w:cs="宋体"/>
          <w:sz w:val="28"/>
          <w:szCs w:val="28"/>
        </w:rPr>
        <w:t>由</w:t>
      </w:r>
      <w:r>
        <w:rPr>
          <w:rFonts w:hint="eastAsia" w:ascii="宋体" w:hAnsi="宋体" w:eastAsia="宋体" w:cs="宋体"/>
          <w:sz w:val="28"/>
          <w:szCs w:val="28"/>
        </w:rPr>
        <w:t>7门课程（既有</w:t>
      </w:r>
      <w:r>
        <w:rPr>
          <w:rFonts w:ascii="宋体" w:hAnsi="宋体" w:eastAsia="宋体" w:cs="宋体"/>
          <w:sz w:val="28"/>
          <w:szCs w:val="28"/>
        </w:rPr>
        <w:t>理论</w:t>
      </w:r>
      <w:r>
        <w:rPr>
          <w:rFonts w:hint="eastAsia" w:ascii="宋体" w:hAnsi="宋体" w:eastAsia="宋体" w:cs="宋体"/>
          <w:sz w:val="28"/>
          <w:szCs w:val="28"/>
        </w:rPr>
        <w:t>课程</w:t>
      </w:r>
      <w:r>
        <w:rPr>
          <w:rFonts w:ascii="宋体" w:hAnsi="宋体" w:eastAsia="宋体" w:cs="宋体"/>
          <w:sz w:val="28"/>
          <w:szCs w:val="28"/>
        </w:rPr>
        <w:t>，也有实践课程</w:t>
      </w:r>
      <w:r>
        <w:rPr>
          <w:rFonts w:hint="eastAsia" w:ascii="宋体" w:hAnsi="宋体" w:eastAsia="宋体" w:cs="宋体"/>
          <w:sz w:val="28"/>
          <w:szCs w:val="28"/>
        </w:rPr>
        <w:t>）</w:t>
      </w:r>
      <w:r>
        <w:rPr>
          <w:rFonts w:ascii="宋体" w:hAnsi="宋体" w:eastAsia="宋体" w:cs="宋体"/>
          <w:sz w:val="28"/>
          <w:szCs w:val="28"/>
        </w:rPr>
        <w:t>提供支撑，</w:t>
      </w:r>
      <w:r>
        <w:rPr>
          <w:rFonts w:hint="eastAsia" w:ascii="宋体" w:hAnsi="宋体" w:eastAsia="宋体" w:cs="宋体"/>
          <w:sz w:val="28"/>
          <w:szCs w:val="28"/>
        </w:rPr>
        <w:t>示例</w:t>
      </w:r>
      <w:r>
        <w:rPr>
          <w:rFonts w:ascii="宋体" w:hAnsi="宋体" w:eastAsia="宋体" w:cs="宋体"/>
          <w:sz w:val="28"/>
          <w:szCs w:val="28"/>
        </w:rPr>
        <w:t>中的</w:t>
      </w:r>
      <w:r>
        <w:rPr>
          <w:rFonts w:hint="eastAsia" w:ascii="宋体" w:hAnsi="宋体" w:eastAsia="宋体" w:cs="宋体"/>
          <w:sz w:val="28"/>
          <w:szCs w:val="28"/>
        </w:rPr>
        <w:t>土木工程概论则是</w:t>
      </w:r>
      <w:r>
        <w:rPr>
          <w:rFonts w:ascii="宋体" w:hAnsi="宋体" w:eastAsia="宋体" w:cs="宋体"/>
          <w:sz w:val="28"/>
          <w:szCs w:val="28"/>
        </w:rPr>
        <w:t>按照横向维度</w:t>
      </w:r>
      <w:r>
        <w:rPr>
          <w:rFonts w:hint="eastAsia" w:ascii="宋体" w:hAnsi="宋体" w:eastAsia="宋体" w:cs="宋体"/>
          <w:sz w:val="28"/>
          <w:szCs w:val="28"/>
        </w:rPr>
        <w:t>撰写</w:t>
      </w:r>
      <w:r>
        <w:rPr>
          <w:rFonts w:ascii="宋体" w:hAnsi="宋体" w:eastAsia="宋体" w:cs="宋体"/>
          <w:sz w:val="28"/>
          <w:szCs w:val="28"/>
        </w:rPr>
        <w:t>本课程的</w:t>
      </w:r>
      <w:r>
        <w:rPr>
          <w:rFonts w:hint="eastAsia" w:ascii="宋体" w:hAnsi="宋体" w:eastAsia="宋体" w:cs="宋体"/>
          <w:sz w:val="28"/>
          <w:szCs w:val="28"/>
        </w:rPr>
        <w:t>课程</w:t>
      </w:r>
      <w:r>
        <w:rPr>
          <w:rFonts w:ascii="宋体" w:hAnsi="宋体" w:eastAsia="宋体" w:cs="宋体"/>
          <w:sz w:val="28"/>
          <w:szCs w:val="28"/>
        </w:rPr>
        <w:t>目标</w:t>
      </w:r>
      <w:r>
        <w:rPr>
          <w:rFonts w:hint="eastAsia" w:ascii="宋体" w:hAnsi="宋体" w:eastAsia="宋体" w:cs="宋体"/>
          <w:sz w:val="28"/>
          <w:szCs w:val="28"/>
        </w:rPr>
        <w:t>。</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高校通过构建</w:t>
      </w:r>
      <w:r>
        <w:rPr>
          <w:rFonts w:ascii="宋体" w:hAnsi="宋体" w:eastAsia="宋体" w:cs="宋体"/>
          <w:sz w:val="28"/>
          <w:szCs w:val="28"/>
        </w:rPr>
        <w:t>系统的</w:t>
      </w:r>
      <w:r>
        <w:rPr>
          <w:rFonts w:hint="eastAsia" w:ascii="宋体" w:hAnsi="宋体" w:eastAsia="宋体" w:cs="宋体"/>
          <w:sz w:val="28"/>
          <w:szCs w:val="28"/>
        </w:rPr>
        <w:t>课程目标</w:t>
      </w:r>
      <w:r>
        <w:rPr>
          <w:rFonts w:ascii="宋体" w:hAnsi="宋体" w:eastAsia="宋体" w:cs="宋体"/>
          <w:sz w:val="28"/>
          <w:szCs w:val="28"/>
        </w:rPr>
        <w:t>层级</w:t>
      </w:r>
      <w:r>
        <w:rPr>
          <w:rFonts w:hint="eastAsia" w:ascii="宋体" w:hAnsi="宋体" w:eastAsia="宋体" w:cs="宋体"/>
          <w:sz w:val="28"/>
          <w:szCs w:val="28"/>
        </w:rPr>
        <w:t>体系</w:t>
      </w:r>
      <w:r>
        <w:rPr>
          <w:rFonts w:ascii="宋体" w:hAnsi="宋体" w:eastAsia="宋体" w:cs="宋体"/>
          <w:sz w:val="28"/>
          <w:szCs w:val="28"/>
        </w:rPr>
        <w:t>将不同层次的课程</w:t>
      </w:r>
      <w:r>
        <w:rPr>
          <w:rFonts w:hint="eastAsia" w:ascii="宋体" w:hAnsi="宋体" w:eastAsia="宋体" w:cs="宋体"/>
          <w:sz w:val="28"/>
          <w:szCs w:val="28"/>
        </w:rPr>
        <w:t>思政</w:t>
      </w:r>
      <w:r>
        <w:rPr>
          <w:rFonts w:ascii="宋体" w:hAnsi="宋体" w:eastAsia="宋体" w:cs="宋体"/>
          <w:sz w:val="28"/>
          <w:szCs w:val="28"/>
        </w:rPr>
        <w:t>串联在一起，</w:t>
      </w:r>
      <w:r>
        <w:rPr>
          <w:rFonts w:hint="eastAsia" w:ascii="宋体" w:hAnsi="宋体" w:eastAsia="宋体" w:cs="宋体"/>
          <w:sz w:val="28"/>
          <w:szCs w:val="28"/>
        </w:rPr>
        <w:t>避免</w:t>
      </w:r>
      <w:r>
        <w:rPr>
          <w:rFonts w:ascii="宋体" w:hAnsi="宋体" w:eastAsia="宋体" w:cs="宋体"/>
          <w:sz w:val="28"/>
          <w:szCs w:val="28"/>
        </w:rPr>
        <w:t>了“</w:t>
      </w:r>
      <w:r>
        <w:rPr>
          <w:rFonts w:hint="eastAsia" w:ascii="宋体" w:hAnsi="宋体" w:eastAsia="宋体" w:cs="宋体"/>
          <w:sz w:val="28"/>
          <w:szCs w:val="28"/>
        </w:rPr>
        <w:t>立德树人</w:t>
      </w:r>
      <w:r>
        <w:rPr>
          <w:rFonts w:ascii="宋体" w:hAnsi="宋体" w:eastAsia="宋体" w:cs="宋体"/>
          <w:sz w:val="28"/>
          <w:szCs w:val="28"/>
        </w:rPr>
        <w:t>”</w:t>
      </w:r>
      <w:r>
        <w:rPr>
          <w:rFonts w:hint="eastAsia" w:ascii="宋体" w:hAnsi="宋体" w:eastAsia="宋体" w:cs="宋体"/>
          <w:sz w:val="28"/>
          <w:szCs w:val="28"/>
        </w:rPr>
        <w:t>根本任务</w:t>
      </w:r>
      <w:r>
        <w:rPr>
          <w:rFonts w:ascii="宋体" w:hAnsi="宋体" w:eastAsia="宋体" w:cs="宋体"/>
          <w:sz w:val="28"/>
          <w:szCs w:val="28"/>
        </w:rPr>
        <w:t>的悬置，并</w:t>
      </w:r>
      <w:r>
        <w:rPr>
          <w:rFonts w:hint="eastAsia" w:ascii="宋体" w:hAnsi="宋体" w:eastAsia="宋体" w:cs="宋体"/>
          <w:sz w:val="28"/>
          <w:szCs w:val="28"/>
        </w:rPr>
        <w:t>对后续</w:t>
      </w:r>
      <w:r>
        <w:rPr>
          <w:rFonts w:ascii="宋体" w:hAnsi="宋体" w:eastAsia="宋体" w:cs="宋体"/>
          <w:sz w:val="28"/>
          <w:szCs w:val="28"/>
        </w:rPr>
        <w:t>的课程</w:t>
      </w:r>
      <w:r>
        <w:rPr>
          <w:rFonts w:hint="eastAsia" w:ascii="宋体" w:hAnsi="宋体" w:eastAsia="宋体" w:cs="宋体"/>
          <w:sz w:val="28"/>
          <w:szCs w:val="28"/>
        </w:rPr>
        <w:t>教学</w:t>
      </w:r>
      <w:r>
        <w:rPr>
          <w:rFonts w:ascii="宋体" w:hAnsi="宋体" w:eastAsia="宋体" w:cs="宋体"/>
          <w:sz w:val="28"/>
          <w:szCs w:val="28"/>
        </w:rPr>
        <w:t>过程</w:t>
      </w:r>
      <w:r>
        <w:rPr>
          <w:rFonts w:hint="eastAsia" w:ascii="宋体" w:hAnsi="宋体" w:eastAsia="宋体" w:cs="宋体"/>
          <w:sz w:val="28"/>
          <w:szCs w:val="28"/>
        </w:rPr>
        <w:t>和</w:t>
      </w:r>
      <w:r>
        <w:rPr>
          <w:rFonts w:ascii="宋体" w:hAnsi="宋体" w:eastAsia="宋体" w:cs="宋体"/>
          <w:sz w:val="28"/>
          <w:szCs w:val="28"/>
        </w:rPr>
        <w:t>评价</w:t>
      </w:r>
      <w:r>
        <w:rPr>
          <w:rFonts w:hint="eastAsia" w:ascii="宋体" w:hAnsi="宋体" w:eastAsia="宋体" w:cs="宋体"/>
          <w:sz w:val="28"/>
          <w:szCs w:val="28"/>
        </w:rPr>
        <w:t>活动</w:t>
      </w:r>
      <w:r>
        <w:rPr>
          <w:rFonts w:ascii="宋体" w:hAnsi="宋体" w:eastAsia="宋体" w:cs="宋体"/>
          <w:sz w:val="28"/>
          <w:szCs w:val="28"/>
        </w:rPr>
        <w:t>起到牵引、</w:t>
      </w:r>
      <w:r>
        <w:rPr>
          <w:rFonts w:hint="eastAsia" w:ascii="宋体" w:hAnsi="宋体" w:eastAsia="宋体" w:cs="宋体"/>
          <w:sz w:val="28"/>
          <w:szCs w:val="28"/>
        </w:rPr>
        <w:t>监测</w:t>
      </w:r>
      <w:r>
        <w:rPr>
          <w:rFonts w:ascii="宋体" w:hAnsi="宋体" w:eastAsia="宋体" w:cs="宋体"/>
          <w:sz w:val="28"/>
          <w:szCs w:val="28"/>
        </w:rPr>
        <w:t>的作用</w:t>
      </w:r>
      <w:r>
        <w:rPr>
          <w:rFonts w:hint="eastAsia" w:ascii="宋体" w:hAnsi="宋体" w:eastAsia="宋体" w:cs="宋体"/>
          <w:sz w:val="28"/>
          <w:szCs w:val="28"/>
        </w:rPr>
        <w:t>。这</w:t>
      </w:r>
      <w:r>
        <w:rPr>
          <w:rFonts w:ascii="宋体" w:hAnsi="宋体" w:eastAsia="宋体" w:cs="宋体"/>
          <w:sz w:val="28"/>
          <w:szCs w:val="28"/>
        </w:rPr>
        <w:t>既是一个</w:t>
      </w:r>
      <w:r>
        <w:rPr>
          <w:rFonts w:hint="eastAsia" w:ascii="宋体" w:hAnsi="宋体" w:eastAsia="宋体" w:cs="宋体"/>
          <w:sz w:val="28"/>
          <w:szCs w:val="28"/>
        </w:rPr>
        <w:t>在</w:t>
      </w:r>
      <w:r>
        <w:rPr>
          <w:rFonts w:ascii="宋体" w:hAnsi="宋体" w:eastAsia="宋体" w:cs="宋体"/>
          <w:sz w:val="28"/>
          <w:szCs w:val="28"/>
        </w:rPr>
        <w:t>实践中环环相扣的</w:t>
      </w:r>
      <w:r>
        <w:rPr>
          <w:rFonts w:hint="eastAsia" w:ascii="宋体" w:hAnsi="宋体" w:eastAsia="宋体" w:cs="宋体"/>
          <w:sz w:val="28"/>
          <w:szCs w:val="28"/>
        </w:rPr>
        <w:t>课程发展</w:t>
      </w:r>
      <w:r>
        <w:rPr>
          <w:rFonts w:ascii="宋体" w:hAnsi="宋体" w:eastAsia="宋体" w:cs="宋体"/>
          <w:sz w:val="28"/>
          <w:szCs w:val="28"/>
        </w:rPr>
        <w:t>动力</w:t>
      </w:r>
      <w:r>
        <w:rPr>
          <w:rFonts w:hint="eastAsia" w:ascii="宋体" w:hAnsi="宋体" w:eastAsia="宋体" w:cs="宋体"/>
          <w:sz w:val="28"/>
          <w:szCs w:val="28"/>
        </w:rPr>
        <w:t>机制，</w:t>
      </w:r>
      <w:r>
        <w:rPr>
          <w:rFonts w:ascii="宋体" w:hAnsi="宋体" w:eastAsia="宋体" w:cs="宋体"/>
          <w:sz w:val="28"/>
          <w:szCs w:val="28"/>
        </w:rPr>
        <w:t>也是课程思政的逐层实现机制。</w:t>
      </w:r>
      <w:r>
        <w:rPr>
          <w:rFonts w:hint="eastAsia" w:ascii="宋体" w:hAnsi="宋体" w:eastAsia="宋体" w:cs="宋体"/>
          <w:sz w:val="28"/>
          <w:szCs w:val="28"/>
        </w:rPr>
        <w:t>这一实现过程因作为</w:t>
      </w:r>
      <w:r>
        <w:rPr>
          <w:rFonts w:ascii="宋体" w:hAnsi="宋体" w:eastAsia="宋体" w:cs="宋体"/>
          <w:sz w:val="28"/>
          <w:szCs w:val="28"/>
        </w:rPr>
        <w:t>载体的</w:t>
      </w:r>
      <w:r>
        <w:rPr>
          <w:rFonts w:hint="eastAsia" w:ascii="宋体" w:hAnsi="宋体" w:eastAsia="宋体" w:cs="宋体"/>
          <w:sz w:val="28"/>
          <w:szCs w:val="28"/>
        </w:rPr>
        <w:t>课程</w:t>
      </w:r>
      <w:r>
        <w:rPr>
          <w:rFonts w:ascii="宋体" w:hAnsi="宋体" w:eastAsia="宋体" w:cs="宋体"/>
          <w:sz w:val="28"/>
          <w:szCs w:val="28"/>
        </w:rPr>
        <w:t>而异，</w:t>
      </w:r>
      <w:r>
        <w:rPr>
          <w:rFonts w:hint="eastAsia" w:ascii="宋体" w:hAnsi="宋体" w:eastAsia="宋体" w:cs="宋体"/>
          <w:sz w:val="28"/>
          <w:szCs w:val="28"/>
        </w:rPr>
        <w:t>有</w:t>
      </w:r>
      <w:r>
        <w:rPr>
          <w:rFonts w:ascii="宋体" w:hAnsi="宋体" w:eastAsia="宋体" w:cs="宋体"/>
          <w:sz w:val="28"/>
          <w:szCs w:val="28"/>
        </w:rPr>
        <w:t>的发挥直接承载作用，有的则发挥</w:t>
      </w:r>
      <w:r>
        <w:rPr>
          <w:rFonts w:hint="eastAsia" w:ascii="宋体" w:hAnsi="宋体" w:eastAsia="宋体" w:cs="宋体"/>
          <w:sz w:val="28"/>
          <w:szCs w:val="28"/>
        </w:rPr>
        <w:t>间接</w:t>
      </w:r>
      <w:r>
        <w:rPr>
          <w:rFonts w:ascii="宋体" w:hAnsi="宋体" w:eastAsia="宋体" w:cs="宋体"/>
          <w:sz w:val="28"/>
          <w:szCs w:val="28"/>
        </w:rPr>
        <w:t>浸润作用。</w:t>
      </w:r>
    </w:p>
    <w:p>
      <w:pPr>
        <w:pStyle w:val="2"/>
        <w:spacing w:before="0" w:after="0" w:line="360" w:lineRule="auto"/>
        <w:ind w:firstLine="602" w:firstLineChars="200"/>
        <w:jc w:val="left"/>
        <w:rPr>
          <w:rFonts w:asciiTheme="minorEastAsia" w:hAnsiTheme="minorEastAsia"/>
          <w:sz w:val="30"/>
          <w:szCs w:val="30"/>
        </w:rPr>
      </w:pPr>
      <w:bookmarkStart w:id="17" w:name="_Toc131671181"/>
      <w:r>
        <w:rPr>
          <w:rFonts w:hint="eastAsia" w:asciiTheme="minorEastAsia" w:hAnsiTheme="minorEastAsia"/>
          <w:sz w:val="30"/>
          <w:szCs w:val="30"/>
        </w:rPr>
        <w:t>（二）实践探索——把握关键环节和关注重点课程</w:t>
      </w:r>
      <w:bookmarkEnd w:id="17"/>
    </w:p>
    <w:p/>
    <w:p>
      <w:pPr>
        <w:spacing w:line="360" w:lineRule="auto"/>
        <w:ind w:firstLine="562" w:firstLineChars="200"/>
        <w:rPr>
          <w:rFonts w:ascii="宋体" w:hAnsi="宋体" w:cs="宋体"/>
          <w:b/>
          <w:bCs/>
          <w:sz w:val="28"/>
          <w:szCs w:val="28"/>
        </w:rPr>
      </w:pPr>
      <w:r>
        <w:rPr>
          <w:rFonts w:hint="eastAsia" w:ascii="宋体" w:hAnsi="宋体" w:cs="宋体"/>
          <w:b/>
          <w:bCs/>
          <w:sz w:val="28"/>
          <w:szCs w:val="28"/>
        </w:rPr>
        <w:t>1.确定未来工程师“32+9”核心能力素养体系，作为课程思政教学评价的逻辑起点</w:t>
      </w:r>
    </w:p>
    <w:p>
      <w:pPr>
        <w:spacing w:line="360" w:lineRule="auto"/>
        <w:ind w:firstLine="560" w:firstLineChars="200"/>
        <w:rPr>
          <w:sz w:val="28"/>
          <w:szCs w:val="28"/>
        </w:rPr>
      </w:pPr>
      <w:r>
        <w:rPr>
          <w:rFonts w:hint="eastAsia"/>
          <w:sz w:val="28"/>
          <w:szCs w:val="28"/>
        </w:rPr>
        <w:t>上海应用技术大学立足</w:t>
      </w:r>
      <w:r>
        <w:rPr>
          <w:sz w:val="28"/>
          <w:szCs w:val="28"/>
        </w:rPr>
        <w:t>办学定位和特色，</w:t>
      </w:r>
      <w:r>
        <w:rPr>
          <w:rFonts w:hint="eastAsia"/>
          <w:sz w:val="28"/>
          <w:szCs w:val="28"/>
        </w:rPr>
        <w:t>以“厚德精技”</w:t>
      </w:r>
      <w:r>
        <w:rPr>
          <w:sz w:val="28"/>
          <w:szCs w:val="28"/>
        </w:rPr>
        <w:t>为统领</w:t>
      </w:r>
      <w:r>
        <w:rPr>
          <w:rFonts w:hint="eastAsia"/>
          <w:sz w:val="28"/>
          <w:szCs w:val="28"/>
        </w:rPr>
        <w:t>细化课程思政所应承担的目标追求和功能任务。通过确立应用型人才思想政治核心素养32个要点和未来工程师ASciT（爱科技）9大关键能力，构成</w:t>
      </w:r>
      <w:r>
        <w:rPr>
          <w:sz w:val="28"/>
          <w:szCs w:val="28"/>
        </w:rPr>
        <w:t>了</w:t>
      </w:r>
      <w:r>
        <w:rPr>
          <w:rFonts w:hint="eastAsia"/>
          <w:sz w:val="28"/>
          <w:szCs w:val="28"/>
        </w:rPr>
        <w:t>课程思政顶层目标体系。其中，思想政治核心素养包括政治意识、人文素养、技术思想和职业情怀4大模块；ASciT（爱科技）9大关键能力包括：主动学习与审美情趣、自主学习能力、创新精神与批判性思维能力、创造性解决问题能力、交流沟通能力、团队合作能力、国际视野、信息素养、应用技术能力与职业素养。</w:t>
      </w:r>
    </w:p>
    <w:p>
      <w:pPr>
        <w:spacing w:line="360" w:lineRule="auto"/>
        <w:ind w:firstLine="560" w:firstLineChars="200"/>
        <w:rPr>
          <w:sz w:val="28"/>
          <w:szCs w:val="28"/>
        </w:rPr>
      </w:pPr>
      <w:r>
        <w:rPr>
          <w:rFonts w:hint="eastAsia"/>
          <w:sz w:val="28"/>
          <w:szCs w:val="28"/>
        </w:rPr>
        <w:t>学校各专业结合自身学科特点，重点围绕上述“32+9”目标体系开展专业、课程层面的课程思政建设，将其作为主线贯穿到毕业要求、课程体系和课堂教学中。例如：制药工程专业结合国家和行业发展需求，围绕“国家意识、科学精神、实践创新和职业素养”四个核心素养确立了“国家利益、国情观念、国际视野、严谨理性、精益求精、崇尚实践、价值求技、遵从伦理、爱岗敬业、规则意识”10个基本要点，并将其落实到课程体系之中。（见表3-3）</w:t>
      </w:r>
    </w:p>
    <w:p>
      <w:pPr>
        <w:widowControl/>
        <w:shd w:val="clear" w:color="auto" w:fill="FFFFFF"/>
        <w:spacing w:line="360" w:lineRule="auto"/>
        <w:jc w:val="center"/>
        <w:rPr>
          <w:bCs/>
          <w:sz w:val="24"/>
          <w:szCs w:val="32"/>
        </w:rPr>
      </w:pPr>
      <w:r>
        <w:rPr>
          <w:rFonts w:hint="eastAsia" w:ascii="Times New Roman" w:hAnsi="Times New Roman" w:cs="Times New Roman"/>
          <w:bCs/>
          <w:sz w:val="24"/>
          <w:szCs w:val="32"/>
        </w:rPr>
        <w:t>表3-3</w:t>
      </w:r>
      <w:r>
        <w:rPr>
          <w:rFonts w:hint="eastAsia" w:cs="Times New Roman"/>
          <w:bCs/>
          <w:sz w:val="24"/>
          <w:szCs w:val="32"/>
        </w:rPr>
        <w:t xml:space="preserve">  </w:t>
      </w:r>
      <w:r>
        <w:rPr>
          <w:rFonts w:hint="eastAsia" w:ascii="Times New Roman" w:hAnsi="Times New Roman" w:cs="Times New Roman"/>
          <w:bCs/>
          <w:sz w:val="24"/>
          <w:szCs w:val="32"/>
        </w:rPr>
        <w:t>制药工程专业课程思政</w:t>
      </w:r>
      <w:r>
        <w:rPr>
          <w:rFonts w:hint="eastAsia" w:cs="Times New Roman"/>
          <w:bCs/>
          <w:sz w:val="24"/>
          <w:szCs w:val="32"/>
        </w:rPr>
        <w:t>思政逐层落实情况</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9"/>
        <w:gridCol w:w="1362"/>
        <w:gridCol w:w="5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9" w:type="dxa"/>
          </w:tcPr>
          <w:p>
            <w:pPr>
              <w:widowControl/>
              <w:spacing w:line="360" w:lineRule="auto"/>
              <w:jc w:val="center"/>
              <w:rPr>
                <w:rFonts w:ascii="Times New Roman" w:hAnsi="Times New Roman" w:eastAsia="宋体" w:cs="Times New Roman"/>
                <w:b/>
                <w:kern w:val="0"/>
                <w:sz w:val="24"/>
                <w:szCs w:val="20"/>
              </w:rPr>
            </w:pPr>
            <w:r>
              <w:rPr>
                <w:rFonts w:hint="eastAsia" w:ascii="Times New Roman" w:hAnsi="Times New Roman" w:eastAsia="宋体" w:cs="Times New Roman"/>
                <w:b/>
                <w:kern w:val="0"/>
                <w:sz w:val="24"/>
                <w:szCs w:val="24"/>
              </w:rPr>
              <w:t>核心素养</w:t>
            </w:r>
          </w:p>
        </w:tc>
        <w:tc>
          <w:tcPr>
            <w:tcW w:w="1362" w:type="dxa"/>
          </w:tcPr>
          <w:p>
            <w:pPr>
              <w:widowControl/>
              <w:spacing w:line="360" w:lineRule="auto"/>
              <w:jc w:val="center"/>
              <w:rPr>
                <w:rFonts w:ascii="Times New Roman" w:hAnsi="Times New Roman" w:eastAsia="宋体" w:cs="Times New Roman"/>
                <w:b/>
                <w:kern w:val="0"/>
                <w:sz w:val="24"/>
                <w:szCs w:val="20"/>
              </w:rPr>
            </w:pPr>
            <w:r>
              <w:rPr>
                <w:rFonts w:hint="eastAsia" w:ascii="Times New Roman" w:hAnsi="Times New Roman" w:eastAsia="宋体" w:cs="Times New Roman"/>
                <w:b/>
                <w:kern w:val="0"/>
                <w:sz w:val="24"/>
                <w:szCs w:val="24"/>
              </w:rPr>
              <w:t>基本要点</w:t>
            </w:r>
          </w:p>
        </w:tc>
        <w:tc>
          <w:tcPr>
            <w:tcW w:w="5961" w:type="dxa"/>
          </w:tcPr>
          <w:p>
            <w:pPr>
              <w:widowControl/>
              <w:spacing w:line="360" w:lineRule="auto"/>
              <w:jc w:val="center"/>
              <w:rPr>
                <w:rFonts w:ascii="Times New Roman" w:hAnsi="Times New Roman" w:eastAsia="宋体" w:cs="Times New Roman"/>
                <w:b/>
                <w:kern w:val="0"/>
                <w:sz w:val="24"/>
                <w:szCs w:val="20"/>
              </w:rPr>
            </w:pPr>
            <w:r>
              <w:rPr>
                <w:rFonts w:hint="eastAsia" w:ascii="Times New Roman" w:hAnsi="Times New Roman" w:eastAsia="宋体" w:cs="Times New Roman"/>
                <w:b/>
                <w:kern w:val="0"/>
                <w:sz w:val="24"/>
                <w:szCs w:val="24"/>
              </w:rPr>
              <w:t>对应课程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9" w:type="dxa"/>
            <w:vMerge w:val="restart"/>
            <w:vAlign w:val="center"/>
          </w:tcPr>
          <w:p>
            <w:pPr>
              <w:widowControl/>
              <w:spacing w:line="360" w:lineRule="auto"/>
              <w:jc w:val="center"/>
              <w:rPr>
                <w:rFonts w:ascii="Times New Roman" w:hAnsi="Times New Roman" w:eastAsia="宋体" w:cs="Times New Roman"/>
                <w:kern w:val="0"/>
                <w:sz w:val="24"/>
                <w:szCs w:val="20"/>
              </w:rPr>
            </w:pPr>
            <w:r>
              <w:rPr>
                <w:rFonts w:hint="eastAsia" w:ascii="Times New Roman" w:hAnsi="Times New Roman" w:eastAsia="宋体" w:cs="Times New Roman"/>
                <w:kern w:val="0"/>
                <w:sz w:val="24"/>
                <w:szCs w:val="24"/>
              </w:rPr>
              <w:t>国家意识</w:t>
            </w:r>
          </w:p>
        </w:tc>
        <w:tc>
          <w:tcPr>
            <w:tcW w:w="1362" w:type="dxa"/>
            <w:vAlign w:val="center"/>
          </w:tcPr>
          <w:p>
            <w:pPr>
              <w:widowControl/>
              <w:spacing w:line="360" w:lineRule="auto"/>
              <w:jc w:val="center"/>
              <w:rPr>
                <w:rFonts w:ascii="Times New Roman" w:hAnsi="Times New Roman" w:eastAsia="宋体" w:cs="Times New Roman"/>
                <w:kern w:val="0"/>
                <w:sz w:val="24"/>
                <w:szCs w:val="20"/>
              </w:rPr>
            </w:pPr>
            <w:r>
              <w:rPr>
                <w:rFonts w:hint="eastAsia" w:ascii="Times New Roman" w:hAnsi="Times New Roman" w:eastAsia="宋体" w:cs="Times New Roman"/>
                <w:kern w:val="0"/>
                <w:sz w:val="24"/>
                <w:szCs w:val="24"/>
              </w:rPr>
              <w:t>国家利益</w:t>
            </w:r>
          </w:p>
        </w:tc>
        <w:tc>
          <w:tcPr>
            <w:tcW w:w="5961" w:type="dxa"/>
            <w:vAlign w:val="center"/>
          </w:tcPr>
          <w:p>
            <w:pPr>
              <w:widowControl/>
              <w:spacing w:line="360" w:lineRule="auto"/>
              <w:jc w:val="center"/>
              <w:rPr>
                <w:rFonts w:ascii="Times New Roman" w:hAnsi="Times New Roman" w:eastAsia="宋体" w:cs="Times New Roman"/>
                <w:kern w:val="0"/>
                <w:sz w:val="24"/>
                <w:szCs w:val="20"/>
              </w:rPr>
            </w:pPr>
            <w:r>
              <w:rPr>
                <w:rFonts w:hint="eastAsia" w:ascii="Times New Roman" w:hAnsi="Times New Roman" w:eastAsia="宋体" w:cs="Times New Roman"/>
                <w:kern w:val="0"/>
                <w:sz w:val="24"/>
                <w:szCs w:val="24"/>
              </w:rPr>
              <w:t>制药工程导论、科技文献检索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9" w:type="dxa"/>
            <w:vMerge w:val="continue"/>
            <w:vAlign w:val="center"/>
          </w:tcPr>
          <w:p>
            <w:pPr>
              <w:widowControl/>
              <w:spacing w:line="360" w:lineRule="auto"/>
              <w:jc w:val="center"/>
              <w:rPr>
                <w:rFonts w:ascii="Times New Roman" w:hAnsi="Times New Roman" w:eastAsia="宋体" w:cs="Times New Roman"/>
                <w:kern w:val="0"/>
                <w:sz w:val="24"/>
                <w:szCs w:val="20"/>
              </w:rPr>
            </w:pPr>
          </w:p>
        </w:tc>
        <w:tc>
          <w:tcPr>
            <w:tcW w:w="1362" w:type="dxa"/>
            <w:vAlign w:val="center"/>
          </w:tcPr>
          <w:p>
            <w:pPr>
              <w:widowControl/>
              <w:spacing w:line="360" w:lineRule="auto"/>
              <w:jc w:val="center"/>
              <w:rPr>
                <w:rFonts w:ascii="Times New Roman" w:hAnsi="Times New Roman" w:eastAsia="宋体" w:cs="Times New Roman"/>
                <w:kern w:val="0"/>
                <w:sz w:val="24"/>
                <w:szCs w:val="20"/>
              </w:rPr>
            </w:pPr>
            <w:r>
              <w:rPr>
                <w:rFonts w:hint="eastAsia" w:ascii="Times New Roman" w:hAnsi="Times New Roman" w:eastAsia="宋体" w:cs="Times New Roman"/>
                <w:kern w:val="0"/>
                <w:sz w:val="24"/>
                <w:szCs w:val="24"/>
              </w:rPr>
              <w:t>国情观念</w:t>
            </w:r>
          </w:p>
        </w:tc>
        <w:tc>
          <w:tcPr>
            <w:tcW w:w="5961" w:type="dxa"/>
            <w:vAlign w:val="center"/>
          </w:tcPr>
          <w:p>
            <w:pPr>
              <w:widowControl/>
              <w:spacing w:line="360" w:lineRule="auto"/>
              <w:jc w:val="center"/>
              <w:rPr>
                <w:rFonts w:ascii="Times New Roman" w:hAnsi="Times New Roman" w:eastAsia="宋体" w:cs="Times New Roman"/>
                <w:kern w:val="0"/>
                <w:sz w:val="24"/>
                <w:szCs w:val="20"/>
              </w:rPr>
            </w:pPr>
            <w:r>
              <w:rPr>
                <w:rFonts w:hint="eastAsia" w:ascii="Times New Roman" w:hAnsi="Times New Roman" w:eastAsia="宋体" w:cs="Times New Roman"/>
                <w:kern w:val="0"/>
                <w:sz w:val="24"/>
                <w:szCs w:val="24"/>
              </w:rPr>
              <w:t>药物化学、药品生产质量管理工程、药事管理法规、制药安全与环保、</w:t>
            </w:r>
            <w:r>
              <w:rPr>
                <w:rFonts w:ascii="Times New Roman" w:hAnsi="Times New Roman" w:eastAsia="宋体" w:cs="Times New Roman"/>
                <w:kern w:val="0"/>
                <w:sz w:val="24"/>
                <w:szCs w:val="24"/>
              </w:rPr>
              <w:t>技术经济与项目管理</w:t>
            </w:r>
            <w:r>
              <w:rPr>
                <w:rFonts w:hint="eastAsia" w:ascii="Times New Roman" w:hAnsi="Times New Roman" w:eastAsia="宋体" w:cs="Times New Roman"/>
                <w:kern w:val="0"/>
                <w:sz w:val="24"/>
                <w:szCs w:val="24"/>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9" w:type="dxa"/>
            <w:vMerge w:val="continue"/>
            <w:vAlign w:val="center"/>
          </w:tcPr>
          <w:p>
            <w:pPr>
              <w:widowControl/>
              <w:spacing w:line="360" w:lineRule="auto"/>
              <w:jc w:val="center"/>
              <w:rPr>
                <w:rFonts w:ascii="Times New Roman" w:hAnsi="Times New Roman" w:eastAsia="宋体" w:cs="Times New Roman"/>
                <w:kern w:val="0"/>
                <w:sz w:val="24"/>
                <w:szCs w:val="20"/>
              </w:rPr>
            </w:pPr>
          </w:p>
        </w:tc>
        <w:tc>
          <w:tcPr>
            <w:tcW w:w="1362" w:type="dxa"/>
            <w:vAlign w:val="center"/>
          </w:tcPr>
          <w:p>
            <w:pPr>
              <w:widowControl/>
              <w:spacing w:line="360" w:lineRule="auto"/>
              <w:jc w:val="center"/>
              <w:rPr>
                <w:rFonts w:ascii="Times New Roman" w:hAnsi="Times New Roman" w:eastAsia="宋体" w:cs="Times New Roman"/>
                <w:kern w:val="0"/>
                <w:sz w:val="24"/>
                <w:szCs w:val="20"/>
              </w:rPr>
            </w:pPr>
            <w:r>
              <w:rPr>
                <w:rFonts w:hint="eastAsia" w:ascii="Times New Roman" w:hAnsi="Times New Roman" w:eastAsia="宋体" w:cs="Times New Roman"/>
                <w:kern w:val="0"/>
                <w:sz w:val="24"/>
                <w:szCs w:val="24"/>
              </w:rPr>
              <w:t>国际视野</w:t>
            </w:r>
          </w:p>
        </w:tc>
        <w:tc>
          <w:tcPr>
            <w:tcW w:w="5961" w:type="dxa"/>
            <w:vAlign w:val="center"/>
          </w:tcPr>
          <w:p>
            <w:pPr>
              <w:widowControl/>
              <w:spacing w:line="360" w:lineRule="auto"/>
              <w:jc w:val="center"/>
              <w:rPr>
                <w:rFonts w:ascii="Times New Roman" w:hAnsi="Times New Roman" w:eastAsia="宋体" w:cs="Times New Roman"/>
                <w:kern w:val="0"/>
                <w:sz w:val="24"/>
                <w:szCs w:val="20"/>
              </w:rPr>
            </w:pPr>
            <w:r>
              <w:rPr>
                <w:rFonts w:hint="eastAsia" w:ascii="Times New Roman" w:hAnsi="Times New Roman" w:eastAsia="宋体" w:cs="Times New Roman"/>
                <w:kern w:val="0"/>
                <w:sz w:val="24"/>
                <w:szCs w:val="24"/>
              </w:rPr>
              <w:t>药物化学、制药工程导论、科技文献检索、药物合成反应、</w:t>
            </w:r>
            <w:r>
              <w:rPr>
                <w:rFonts w:ascii="Times New Roman" w:hAnsi="Times New Roman" w:eastAsia="宋体" w:cs="Times New Roman"/>
                <w:kern w:val="0"/>
                <w:sz w:val="24"/>
                <w:szCs w:val="24"/>
              </w:rPr>
              <w:t>制药工程专业英语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9" w:type="dxa"/>
            <w:vMerge w:val="restart"/>
            <w:vAlign w:val="center"/>
          </w:tcPr>
          <w:p>
            <w:pPr>
              <w:widowControl/>
              <w:spacing w:line="360" w:lineRule="auto"/>
              <w:jc w:val="center"/>
              <w:rPr>
                <w:rFonts w:ascii="Times New Roman" w:hAnsi="Times New Roman" w:eastAsia="宋体" w:cs="Times New Roman"/>
                <w:kern w:val="0"/>
                <w:sz w:val="24"/>
                <w:szCs w:val="20"/>
              </w:rPr>
            </w:pPr>
            <w:r>
              <w:rPr>
                <w:rFonts w:hint="eastAsia" w:ascii="Times New Roman" w:hAnsi="Times New Roman" w:eastAsia="宋体" w:cs="Times New Roman"/>
                <w:kern w:val="0"/>
                <w:sz w:val="24"/>
                <w:szCs w:val="24"/>
              </w:rPr>
              <w:t>科学精神</w:t>
            </w:r>
          </w:p>
        </w:tc>
        <w:tc>
          <w:tcPr>
            <w:tcW w:w="1362" w:type="dxa"/>
            <w:vAlign w:val="center"/>
          </w:tcPr>
          <w:p>
            <w:pPr>
              <w:widowControl/>
              <w:spacing w:line="360" w:lineRule="auto"/>
              <w:jc w:val="center"/>
              <w:rPr>
                <w:rFonts w:ascii="Times New Roman" w:hAnsi="Times New Roman" w:eastAsia="宋体" w:cs="Times New Roman"/>
                <w:kern w:val="0"/>
                <w:sz w:val="24"/>
                <w:szCs w:val="20"/>
              </w:rPr>
            </w:pPr>
            <w:r>
              <w:rPr>
                <w:rFonts w:hint="eastAsia" w:ascii="Times New Roman" w:hAnsi="Times New Roman" w:eastAsia="宋体" w:cs="Times New Roman"/>
                <w:kern w:val="0"/>
                <w:sz w:val="24"/>
                <w:szCs w:val="24"/>
              </w:rPr>
              <w:t>严谨理性</w:t>
            </w:r>
          </w:p>
        </w:tc>
        <w:tc>
          <w:tcPr>
            <w:tcW w:w="5961" w:type="dxa"/>
            <w:vAlign w:val="center"/>
          </w:tcPr>
          <w:p>
            <w:pPr>
              <w:widowControl/>
              <w:spacing w:line="360" w:lineRule="auto"/>
              <w:jc w:val="center"/>
              <w:rPr>
                <w:rFonts w:ascii="Times New Roman" w:hAnsi="Times New Roman" w:eastAsia="宋体" w:cs="Times New Roman"/>
                <w:kern w:val="0"/>
                <w:sz w:val="24"/>
                <w:szCs w:val="20"/>
              </w:rPr>
            </w:pPr>
            <w:r>
              <w:rPr>
                <w:rFonts w:hint="eastAsia" w:ascii="Times New Roman" w:hAnsi="Times New Roman" w:eastAsia="宋体" w:cs="Times New Roman"/>
                <w:kern w:val="0"/>
                <w:sz w:val="24"/>
                <w:szCs w:val="24"/>
              </w:rPr>
              <w:t>药物化学、制药分离工程、药物分析、药物合成反应、</w:t>
            </w:r>
            <w:r>
              <w:rPr>
                <w:rFonts w:ascii="Times New Roman" w:hAnsi="Times New Roman" w:eastAsia="宋体" w:cs="Times New Roman"/>
                <w:kern w:val="0"/>
                <w:sz w:val="24"/>
                <w:szCs w:val="24"/>
              </w:rPr>
              <w:t>生物化学基础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9" w:type="dxa"/>
            <w:vMerge w:val="continue"/>
            <w:vAlign w:val="center"/>
          </w:tcPr>
          <w:p>
            <w:pPr>
              <w:widowControl/>
              <w:spacing w:line="360" w:lineRule="auto"/>
              <w:jc w:val="center"/>
              <w:rPr>
                <w:rFonts w:ascii="Times New Roman" w:hAnsi="Times New Roman" w:eastAsia="宋体" w:cs="Times New Roman"/>
                <w:kern w:val="0"/>
                <w:sz w:val="24"/>
                <w:szCs w:val="20"/>
              </w:rPr>
            </w:pPr>
          </w:p>
        </w:tc>
        <w:tc>
          <w:tcPr>
            <w:tcW w:w="1362" w:type="dxa"/>
            <w:vAlign w:val="center"/>
          </w:tcPr>
          <w:p>
            <w:pPr>
              <w:widowControl/>
              <w:spacing w:line="360" w:lineRule="auto"/>
              <w:jc w:val="center"/>
              <w:rPr>
                <w:rFonts w:ascii="Times New Roman" w:hAnsi="Times New Roman" w:eastAsia="宋体" w:cs="Times New Roman"/>
                <w:kern w:val="0"/>
                <w:sz w:val="24"/>
                <w:szCs w:val="20"/>
              </w:rPr>
            </w:pPr>
            <w:r>
              <w:rPr>
                <w:rFonts w:hint="eastAsia" w:ascii="Times New Roman" w:hAnsi="Times New Roman" w:eastAsia="宋体" w:cs="Times New Roman"/>
                <w:kern w:val="0"/>
                <w:sz w:val="24"/>
                <w:szCs w:val="24"/>
              </w:rPr>
              <w:t>精益求精</w:t>
            </w:r>
          </w:p>
        </w:tc>
        <w:tc>
          <w:tcPr>
            <w:tcW w:w="5961" w:type="dxa"/>
            <w:vAlign w:val="center"/>
          </w:tcPr>
          <w:p>
            <w:pPr>
              <w:widowControl/>
              <w:spacing w:line="360" w:lineRule="auto"/>
              <w:jc w:val="center"/>
              <w:rPr>
                <w:rFonts w:ascii="Times New Roman" w:hAnsi="Times New Roman" w:eastAsia="宋体" w:cs="Times New Roman"/>
                <w:kern w:val="0"/>
                <w:sz w:val="24"/>
                <w:szCs w:val="20"/>
              </w:rPr>
            </w:pPr>
            <w:r>
              <w:rPr>
                <w:rFonts w:hint="eastAsia" w:ascii="Times New Roman" w:hAnsi="Times New Roman" w:eastAsia="宋体" w:cs="Times New Roman"/>
                <w:kern w:val="0"/>
                <w:sz w:val="24"/>
                <w:szCs w:val="24"/>
              </w:rPr>
              <w:t>药物化学、制药工艺学、药物分析、药物合成反应、</w:t>
            </w:r>
            <w:r>
              <w:rPr>
                <w:rFonts w:ascii="Times New Roman" w:hAnsi="Times New Roman" w:eastAsia="宋体" w:cs="Times New Roman"/>
                <w:kern w:val="0"/>
                <w:sz w:val="24"/>
                <w:szCs w:val="24"/>
              </w:rPr>
              <w:t>生物化学基础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9" w:type="dxa"/>
            <w:vMerge w:val="restart"/>
            <w:vAlign w:val="center"/>
          </w:tcPr>
          <w:p>
            <w:pPr>
              <w:widowControl/>
              <w:spacing w:line="360" w:lineRule="auto"/>
              <w:jc w:val="center"/>
              <w:rPr>
                <w:rFonts w:ascii="Times New Roman" w:hAnsi="Times New Roman" w:eastAsia="宋体" w:cs="Times New Roman"/>
                <w:kern w:val="0"/>
                <w:sz w:val="24"/>
                <w:szCs w:val="20"/>
              </w:rPr>
            </w:pPr>
            <w:r>
              <w:rPr>
                <w:rFonts w:hint="eastAsia" w:ascii="Times New Roman" w:hAnsi="Times New Roman" w:eastAsia="宋体" w:cs="Times New Roman"/>
                <w:kern w:val="0"/>
                <w:sz w:val="24"/>
                <w:szCs w:val="24"/>
              </w:rPr>
              <w:t>实践创新</w:t>
            </w:r>
          </w:p>
        </w:tc>
        <w:tc>
          <w:tcPr>
            <w:tcW w:w="1362" w:type="dxa"/>
            <w:vAlign w:val="center"/>
          </w:tcPr>
          <w:p>
            <w:pPr>
              <w:widowControl/>
              <w:spacing w:line="360" w:lineRule="auto"/>
              <w:jc w:val="center"/>
              <w:rPr>
                <w:rFonts w:ascii="Times New Roman" w:hAnsi="Times New Roman" w:eastAsia="宋体" w:cs="Times New Roman"/>
                <w:kern w:val="0"/>
                <w:sz w:val="24"/>
                <w:szCs w:val="20"/>
              </w:rPr>
            </w:pPr>
            <w:r>
              <w:rPr>
                <w:rFonts w:hint="eastAsia" w:ascii="Times New Roman" w:hAnsi="Times New Roman" w:eastAsia="宋体" w:cs="Times New Roman"/>
                <w:kern w:val="0"/>
                <w:sz w:val="24"/>
                <w:szCs w:val="24"/>
              </w:rPr>
              <w:t>崇尚实践</w:t>
            </w:r>
          </w:p>
        </w:tc>
        <w:tc>
          <w:tcPr>
            <w:tcW w:w="5961" w:type="dxa"/>
            <w:vAlign w:val="center"/>
          </w:tcPr>
          <w:p>
            <w:pPr>
              <w:widowControl/>
              <w:spacing w:line="360" w:lineRule="auto"/>
              <w:jc w:val="center"/>
              <w:rPr>
                <w:rFonts w:ascii="Times New Roman" w:hAnsi="Times New Roman" w:eastAsia="宋体" w:cs="Times New Roman"/>
                <w:kern w:val="0"/>
                <w:sz w:val="24"/>
                <w:szCs w:val="20"/>
              </w:rPr>
            </w:pPr>
            <w:r>
              <w:rPr>
                <w:rFonts w:hint="eastAsia" w:ascii="Times New Roman" w:hAnsi="Times New Roman" w:eastAsia="宋体" w:cs="Times New Roman"/>
                <w:kern w:val="0"/>
                <w:sz w:val="24"/>
                <w:szCs w:val="24"/>
              </w:rPr>
              <w:t>药品生产质量管理工程、药事管理法规、制药分离工程、制药工艺学、制药工程工艺设计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9" w:type="dxa"/>
            <w:vMerge w:val="continue"/>
            <w:vAlign w:val="center"/>
          </w:tcPr>
          <w:p>
            <w:pPr>
              <w:widowControl/>
              <w:spacing w:line="360" w:lineRule="auto"/>
              <w:jc w:val="center"/>
              <w:rPr>
                <w:rFonts w:ascii="Times New Roman" w:hAnsi="Times New Roman" w:eastAsia="宋体" w:cs="Times New Roman"/>
                <w:kern w:val="0"/>
                <w:sz w:val="24"/>
                <w:szCs w:val="20"/>
              </w:rPr>
            </w:pPr>
          </w:p>
        </w:tc>
        <w:tc>
          <w:tcPr>
            <w:tcW w:w="1362" w:type="dxa"/>
            <w:vAlign w:val="center"/>
          </w:tcPr>
          <w:p>
            <w:pPr>
              <w:widowControl/>
              <w:spacing w:line="360" w:lineRule="auto"/>
              <w:jc w:val="center"/>
              <w:rPr>
                <w:rFonts w:ascii="Times New Roman" w:hAnsi="Times New Roman" w:eastAsia="宋体" w:cs="Times New Roman"/>
                <w:kern w:val="0"/>
                <w:sz w:val="24"/>
                <w:szCs w:val="20"/>
              </w:rPr>
            </w:pPr>
            <w:r>
              <w:rPr>
                <w:rFonts w:hint="eastAsia" w:ascii="Times New Roman" w:hAnsi="Times New Roman" w:eastAsia="宋体" w:cs="Times New Roman"/>
                <w:kern w:val="0"/>
                <w:sz w:val="24"/>
                <w:szCs w:val="24"/>
              </w:rPr>
              <w:t>价值求技</w:t>
            </w:r>
          </w:p>
        </w:tc>
        <w:tc>
          <w:tcPr>
            <w:tcW w:w="5961" w:type="dxa"/>
            <w:vAlign w:val="center"/>
          </w:tcPr>
          <w:p>
            <w:pPr>
              <w:widowControl/>
              <w:spacing w:line="360" w:lineRule="auto"/>
              <w:jc w:val="center"/>
              <w:rPr>
                <w:rFonts w:ascii="Times New Roman" w:hAnsi="Times New Roman" w:eastAsia="宋体" w:cs="Times New Roman"/>
                <w:kern w:val="0"/>
                <w:sz w:val="24"/>
                <w:szCs w:val="20"/>
              </w:rPr>
            </w:pPr>
            <w:r>
              <w:rPr>
                <w:rFonts w:hint="eastAsia" w:ascii="Times New Roman" w:hAnsi="Times New Roman" w:eastAsia="宋体" w:cs="Times New Roman"/>
                <w:kern w:val="0"/>
                <w:sz w:val="24"/>
                <w:szCs w:val="24"/>
              </w:rPr>
              <w:t>药物化学、药物分析、药理学、制药工艺学等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9" w:type="dxa"/>
            <w:vMerge w:val="continue"/>
            <w:vAlign w:val="center"/>
          </w:tcPr>
          <w:p>
            <w:pPr>
              <w:widowControl/>
              <w:spacing w:line="360" w:lineRule="auto"/>
              <w:jc w:val="center"/>
              <w:rPr>
                <w:rFonts w:ascii="Times New Roman" w:hAnsi="Times New Roman" w:eastAsia="宋体" w:cs="Times New Roman"/>
                <w:kern w:val="0"/>
                <w:sz w:val="24"/>
                <w:szCs w:val="20"/>
              </w:rPr>
            </w:pPr>
          </w:p>
        </w:tc>
        <w:tc>
          <w:tcPr>
            <w:tcW w:w="1362" w:type="dxa"/>
            <w:vAlign w:val="center"/>
          </w:tcPr>
          <w:p>
            <w:pPr>
              <w:widowControl/>
              <w:spacing w:line="360" w:lineRule="auto"/>
              <w:jc w:val="center"/>
              <w:rPr>
                <w:rFonts w:ascii="Times New Roman" w:hAnsi="Times New Roman" w:eastAsia="宋体" w:cs="Times New Roman"/>
                <w:kern w:val="0"/>
                <w:sz w:val="24"/>
                <w:szCs w:val="20"/>
              </w:rPr>
            </w:pPr>
            <w:r>
              <w:rPr>
                <w:rFonts w:hint="eastAsia" w:ascii="Times New Roman" w:hAnsi="Times New Roman" w:eastAsia="宋体" w:cs="Times New Roman"/>
                <w:kern w:val="0"/>
                <w:sz w:val="24"/>
                <w:szCs w:val="24"/>
              </w:rPr>
              <w:t>遵从伦理</w:t>
            </w:r>
          </w:p>
        </w:tc>
        <w:tc>
          <w:tcPr>
            <w:tcW w:w="5961" w:type="dxa"/>
            <w:vAlign w:val="center"/>
          </w:tcPr>
          <w:p>
            <w:pPr>
              <w:widowControl/>
              <w:spacing w:line="360" w:lineRule="auto"/>
              <w:jc w:val="center"/>
              <w:rPr>
                <w:rFonts w:ascii="Times New Roman" w:hAnsi="Times New Roman" w:eastAsia="宋体" w:cs="Times New Roman"/>
                <w:b/>
                <w:kern w:val="0"/>
                <w:sz w:val="24"/>
                <w:szCs w:val="20"/>
              </w:rPr>
            </w:pPr>
            <w:r>
              <w:rPr>
                <w:rFonts w:hint="eastAsia" w:ascii="Times New Roman" w:hAnsi="Times New Roman" w:eastAsia="宋体" w:cs="Times New Roman"/>
                <w:kern w:val="0"/>
                <w:sz w:val="24"/>
                <w:szCs w:val="24"/>
              </w:rPr>
              <w:t>药物化学、药品生产质量管理工程、药事管理法规、科技文献检索、制药工程工艺设计、药理学等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9" w:type="dxa"/>
            <w:vMerge w:val="restart"/>
            <w:vAlign w:val="center"/>
          </w:tcPr>
          <w:p>
            <w:pPr>
              <w:widowControl/>
              <w:spacing w:line="360" w:lineRule="auto"/>
              <w:jc w:val="center"/>
              <w:rPr>
                <w:rFonts w:ascii="Times New Roman" w:hAnsi="Times New Roman" w:eastAsia="宋体" w:cs="Times New Roman"/>
                <w:kern w:val="0"/>
                <w:sz w:val="24"/>
                <w:szCs w:val="20"/>
              </w:rPr>
            </w:pPr>
            <w:r>
              <w:rPr>
                <w:rFonts w:hint="eastAsia" w:ascii="Times New Roman" w:hAnsi="Times New Roman" w:eastAsia="宋体" w:cs="Times New Roman"/>
                <w:kern w:val="0"/>
                <w:sz w:val="24"/>
                <w:szCs w:val="24"/>
              </w:rPr>
              <w:t>职业素养</w:t>
            </w:r>
          </w:p>
        </w:tc>
        <w:tc>
          <w:tcPr>
            <w:tcW w:w="1362" w:type="dxa"/>
            <w:vAlign w:val="center"/>
          </w:tcPr>
          <w:p>
            <w:pPr>
              <w:widowControl/>
              <w:spacing w:line="360" w:lineRule="auto"/>
              <w:jc w:val="center"/>
              <w:rPr>
                <w:rFonts w:ascii="Times New Roman" w:hAnsi="Times New Roman" w:eastAsia="宋体" w:cs="Times New Roman"/>
                <w:kern w:val="0"/>
                <w:sz w:val="24"/>
                <w:szCs w:val="20"/>
              </w:rPr>
            </w:pPr>
            <w:r>
              <w:rPr>
                <w:rFonts w:hint="eastAsia" w:ascii="Times New Roman" w:hAnsi="Times New Roman" w:eastAsia="宋体" w:cs="Times New Roman"/>
                <w:kern w:val="0"/>
                <w:sz w:val="24"/>
                <w:szCs w:val="24"/>
              </w:rPr>
              <w:t>爱岗敬业</w:t>
            </w:r>
          </w:p>
        </w:tc>
        <w:tc>
          <w:tcPr>
            <w:tcW w:w="5961" w:type="dxa"/>
            <w:vAlign w:val="center"/>
          </w:tcPr>
          <w:p>
            <w:pPr>
              <w:widowControl/>
              <w:spacing w:line="360" w:lineRule="auto"/>
              <w:jc w:val="center"/>
              <w:rPr>
                <w:rFonts w:ascii="Times New Roman" w:hAnsi="Times New Roman" w:eastAsia="宋体" w:cs="Times New Roman"/>
                <w:kern w:val="0"/>
                <w:sz w:val="24"/>
                <w:szCs w:val="20"/>
              </w:rPr>
            </w:pPr>
            <w:r>
              <w:rPr>
                <w:rFonts w:hint="eastAsia" w:ascii="Times New Roman" w:hAnsi="Times New Roman" w:eastAsia="宋体" w:cs="Times New Roman"/>
                <w:kern w:val="0"/>
                <w:sz w:val="24"/>
                <w:szCs w:val="24"/>
              </w:rPr>
              <w:t>药物化学、制药安全与环保、制药分离工程、制药工程导论、</w:t>
            </w:r>
            <w:r>
              <w:rPr>
                <w:rFonts w:ascii="Times New Roman" w:hAnsi="Times New Roman" w:eastAsia="宋体" w:cs="Times New Roman"/>
                <w:kern w:val="0"/>
                <w:sz w:val="24"/>
                <w:szCs w:val="24"/>
              </w:rPr>
              <w:t>技术经济与项目管理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9" w:type="dxa"/>
            <w:vMerge w:val="continue"/>
            <w:vAlign w:val="center"/>
          </w:tcPr>
          <w:p>
            <w:pPr>
              <w:widowControl/>
              <w:spacing w:line="360" w:lineRule="auto"/>
              <w:jc w:val="center"/>
              <w:rPr>
                <w:rFonts w:ascii="Times New Roman" w:hAnsi="Times New Roman" w:eastAsia="宋体" w:cs="Times New Roman"/>
                <w:kern w:val="0"/>
                <w:sz w:val="24"/>
                <w:szCs w:val="20"/>
              </w:rPr>
            </w:pPr>
          </w:p>
        </w:tc>
        <w:tc>
          <w:tcPr>
            <w:tcW w:w="1362" w:type="dxa"/>
            <w:vAlign w:val="center"/>
          </w:tcPr>
          <w:p>
            <w:pPr>
              <w:widowControl/>
              <w:spacing w:line="360" w:lineRule="auto"/>
              <w:jc w:val="center"/>
              <w:rPr>
                <w:rFonts w:ascii="Times New Roman" w:hAnsi="Times New Roman" w:eastAsia="宋体" w:cs="Times New Roman"/>
                <w:kern w:val="0"/>
                <w:sz w:val="24"/>
                <w:szCs w:val="20"/>
              </w:rPr>
            </w:pPr>
            <w:r>
              <w:rPr>
                <w:rFonts w:hint="eastAsia" w:ascii="Times New Roman" w:hAnsi="Times New Roman" w:eastAsia="宋体" w:cs="Times New Roman"/>
                <w:kern w:val="0"/>
                <w:sz w:val="24"/>
                <w:szCs w:val="24"/>
              </w:rPr>
              <w:t>规则意识</w:t>
            </w:r>
          </w:p>
        </w:tc>
        <w:tc>
          <w:tcPr>
            <w:tcW w:w="5961" w:type="dxa"/>
            <w:vAlign w:val="center"/>
          </w:tcPr>
          <w:p>
            <w:pPr>
              <w:widowControl/>
              <w:spacing w:line="360" w:lineRule="auto"/>
              <w:jc w:val="center"/>
              <w:rPr>
                <w:rFonts w:ascii="Times New Roman" w:hAnsi="Times New Roman" w:eastAsia="宋体" w:cs="Times New Roman"/>
                <w:kern w:val="0"/>
                <w:sz w:val="24"/>
                <w:szCs w:val="20"/>
              </w:rPr>
            </w:pPr>
            <w:r>
              <w:rPr>
                <w:rFonts w:hint="eastAsia" w:ascii="Times New Roman" w:hAnsi="Times New Roman" w:eastAsia="宋体" w:cs="Times New Roman"/>
                <w:kern w:val="0"/>
                <w:sz w:val="24"/>
                <w:szCs w:val="24"/>
              </w:rPr>
              <w:t>药品生产质量管理工程、药事管理法规、制药安全与环保、制药工艺学、科技文献检索、制药工程工艺设计</w:t>
            </w:r>
          </w:p>
        </w:tc>
      </w:tr>
    </w:tbl>
    <w:p>
      <w:pPr>
        <w:spacing w:line="360" w:lineRule="auto"/>
        <w:ind w:firstLine="562" w:firstLineChars="200"/>
        <w:rPr>
          <w:b/>
          <w:bCs/>
          <w:sz w:val="28"/>
          <w:szCs w:val="28"/>
        </w:rPr>
      </w:pPr>
    </w:p>
    <w:p>
      <w:pPr>
        <w:spacing w:line="360" w:lineRule="auto"/>
        <w:ind w:firstLine="562" w:firstLineChars="200"/>
        <w:rPr>
          <w:b/>
          <w:bCs/>
          <w:sz w:val="28"/>
          <w:szCs w:val="28"/>
        </w:rPr>
      </w:pPr>
      <w:r>
        <w:rPr>
          <w:rFonts w:hint="eastAsia"/>
          <w:b/>
          <w:bCs/>
          <w:sz w:val="28"/>
          <w:szCs w:val="28"/>
        </w:rPr>
        <w:t>2.全面修订本科教学质量标准体系，作为课程思政教学评价的基本依据</w:t>
      </w:r>
    </w:p>
    <w:p>
      <w:pPr>
        <w:spacing w:line="360" w:lineRule="auto"/>
        <w:ind w:firstLine="560"/>
        <w:rPr>
          <w:sz w:val="28"/>
          <w:szCs w:val="28"/>
        </w:rPr>
      </w:pPr>
      <w:r>
        <w:rPr>
          <w:rFonts w:hint="eastAsia"/>
          <w:sz w:val="28"/>
          <w:szCs w:val="28"/>
        </w:rPr>
        <w:t>以教育部和上海市教委出台的相关文件精神为指导，依据OBE理念和课程思政的要求全面修订了本科教学质量标准体系（共11项，示例见表3-4），以此为依据修订评价指标。新的质量标准体系主要体现以下三个方面：一是基于产出导向强化整体设计，强化不同质量标准之间在课程思政上的逻辑关系和相互呼应；二是围绕学生中心修订标准内涵，突出学生的获得感，并力图使标准更加可观察、可操作；三是突出课程教学这一环节在课程思政评价中的核心地位，明确学校、学院和基层教学组织在持续改进课程思政质量中的责任。</w:t>
      </w:r>
    </w:p>
    <w:p>
      <w:pPr>
        <w:spacing w:line="360" w:lineRule="auto"/>
        <w:ind w:firstLine="560"/>
        <w:jc w:val="center"/>
        <w:rPr>
          <w:sz w:val="24"/>
        </w:rPr>
      </w:pPr>
      <w:r>
        <w:rPr>
          <w:rFonts w:hint="eastAsia"/>
          <w:sz w:val="24"/>
          <w:szCs w:val="24"/>
        </w:rPr>
        <w:t>表3-4 本科教学质量标准（课程思政部分）示例</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1"/>
        <w:gridCol w:w="1575"/>
        <w:gridCol w:w="5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tcPr>
          <w:p>
            <w:pPr>
              <w:spacing w:line="360" w:lineRule="auto"/>
              <w:jc w:val="center"/>
              <w:rPr>
                <w:rFonts w:ascii="宋体" w:hAnsi="宋体" w:eastAsia="宋体" w:cs="宋体"/>
                <w:kern w:val="0"/>
                <w:sz w:val="24"/>
                <w:szCs w:val="20"/>
              </w:rPr>
            </w:pPr>
            <w:r>
              <w:rPr>
                <w:rFonts w:hint="eastAsia" w:ascii="宋体" w:hAnsi="宋体" w:eastAsia="宋体" w:cs="宋体"/>
                <w:kern w:val="0"/>
                <w:sz w:val="24"/>
                <w:szCs w:val="24"/>
              </w:rPr>
              <w:t>质量标准名称</w:t>
            </w:r>
          </w:p>
        </w:tc>
        <w:tc>
          <w:tcPr>
            <w:tcW w:w="1575" w:type="dxa"/>
          </w:tcPr>
          <w:p>
            <w:pPr>
              <w:spacing w:line="360" w:lineRule="auto"/>
              <w:jc w:val="center"/>
              <w:rPr>
                <w:rFonts w:ascii="宋体" w:hAnsi="宋体" w:eastAsia="宋体" w:cs="宋体"/>
                <w:kern w:val="0"/>
                <w:sz w:val="24"/>
                <w:szCs w:val="20"/>
              </w:rPr>
            </w:pPr>
            <w:r>
              <w:rPr>
                <w:rFonts w:hint="eastAsia" w:ascii="宋体" w:hAnsi="宋体" w:eastAsia="宋体" w:cs="宋体"/>
                <w:kern w:val="0"/>
                <w:sz w:val="24"/>
                <w:szCs w:val="24"/>
              </w:rPr>
              <w:t>指标项示例</w:t>
            </w:r>
          </w:p>
        </w:tc>
        <w:tc>
          <w:tcPr>
            <w:tcW w:w="5038" w:type="dxa"/>
          </w:tcPr>
          <w:p>
            <w:pPr>
              <w:spacing w:line="360" w:lineRule="auto"/>
              <w:jc w:val="center"/>
              <w:rPr>
                <w:rFonts w:ascii="宋体" w:hAnsi="宋体" w:eastAsia="宋体" w:cs="宋体"/>
                <w:kern w:val="0"/>
                <w:sz w:val="24"/>
                <w:szCs w:val="20"/>
              </w:rPr>
            </w:pPr>
            <w:r>
              <w:rPr>
                <w:rFonts w:hint="eastAsia" w:ascii="宋体" w:hAnsi="宋体" w:eastAsia="宋体" w:cs="宋体"/>
                <w:kern w:val="0"/>
                <w:sz w:val="24"/>
                <w:szCs w:val="24"/>
              </w:rPr>
              <w:t>标准内容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vMerge w:val="restart"/>
            <w:vAlign w:val="center"/>
          </w:tcPr>
          <w:p>
            <w:pPr>
              <w:spacing w:line="360" w:lineRule="auto"/>
              <w:jc w:val="center"/>
              <w:rPr>
                <w:rFonts w:ascii="宋体" w:hAnsi="宋体" w:eastAsia="宋体" w:cs="宋体"/>
                <w:kern w:val="0"/>
                <w:sz w:val="24"/>
                <w:szCs w:val="20"/>
              </w:rPr>
            </w:pPr>
            <w:r>
              <w:rPr>
                <w:rFonts w:hint="eastAsia" w:ascii="宋体" w:hAnsi="宋体" w:eastAsia="宋体" w:cs="宋体"/>
                <w:color w:val="000000"/>
                <w:kern w:val="0"/>
                <w:sz w:val="24"/>
                <w:szCs w:val="24"/>
              </w:rPr>
              <w:t>本科专业建设质量标准</w:t>
            </w:r>
          </w:p>
        </w:tc>
        <w:tc>
          <w:tcPr>
            <w:tcW w:w="1575" w:type="dxa"/>
            <w:vAlign w:val="center"/>
          </w:tcPr>
          <w:p>
            <w:pPr>
              <w:widowControl/>
              <w:spacing w:line="360" w:lineRule="auto"/>
              <w:jc w:val="center"/>
              <w:rPr>
                <w:rFonts w:ascii="宋体" w:hAnsi="宋体" w:eastAsia="宋体" w:cs="宋体"/>
                <w:color w:val="000000"/>
                <w:kern w:val="0"/>
                <w:sz w:val="24"/>
                <w:szCs w:val="20"/>
              </w:rPr>
            </w:pPr>
            <w:r>
              <w:rPr>
                <w:rFonts w:hint="eastAsia" w:ascii="宋体" w:hAnsi="宋体" w:eastAsia="宋体" w:cs="宋体"/>
                <w:color w:val="000000"/>
                <w:kern w:val="0"/>
                <w:sz w:val="24"/>
                <w:szCs w:val="24"/>
              </w:rPr>
              <w:t>专业定位和培养目标</w:t>
            </w:r>
          </w:p>
        </w:tc>
        <w:tc>
          <w:tcPr>
            <w:tcW w:w="5038" w:type="dxa"/>
            <w:vAlign w:val="center"/>
          </w:tcPr>
          <w:p>
            <w:pPr>
              <w:widowControl/>
              <w:spacing w:line="360" w:lineRule="auto"/>
              <w:jc w:val="left"/>
              <w:rPr>
                <w:rFonts w:ascii="宋体" w:hAnsi="宋体" w:eastAsia="宋体" w:cs="宋体"/>
                <w:color w:val="000000"/>
                <w:kern w:val="0"/>
                <w:sz w:val="24"/>
                <w:szCs w:val="20"/>
              </w:rPr>
            </w:pPr>
            <w:r>
              <w:rPr>
                <w:rFonts w:hint="eastAsia" w:ascii="宋体" w:hAnsi="宋体" w:eastAsia="宋体" w:cs="宋体"/>
                <w:color w:val="000000"/>
                <w:kern w:val="0"/>
                <w:sz w:val="24"/>
                <w:szCs w:val="24"/>
              </w:rPr>
              <w:t>1.3培养目标表述全面规范，在专业领域、职业特征、人才类型定位和职业特质（含专业能力和非专业能力）等方面有明确的表述。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vMerge w:val="continue"/>
            <w:vAlign w:val="center"/>
          </w:tcPr>
          <w:p>
            <w:pPr>
              <w:spacing w:line="360" w:lineRule="auto"/>
              <w:jc w:val="center"/>
              <w:rPr>
                <w:rFonts w:ascii="宋体" w:hAnsi="宋体" w:eastAsia="宋体" w:cs="宋体"/>
                <w:kern w:val="0"/>
                <w:sz w:val="24"/>
                <w:szCs w:val="20"/>
              </w:rPr>
            </w:pPr>
          </w:p>
        </w:tc>
        <w:tc>
          <w:tcPr>
            <w:tcW w:w="1575" w:type="dxa"/>
            <w:vAlign w:val="center"/>
          </w:tcPr>
          <w:p>
            <w:pPr>
              <w:widowControl/>
              <w:spacing w:line="360" w:lineRule="auto"/>
              <w:jc w:val="center"/>
              <w:rPr>
                <w:rFonts w:ascii="宋体" w:hAnsi="宋体" w:eastAsia="宋体" w:cs="宋体"/>
                <w:color w:val="000000"/>
                <w:kern w:val="0"/>
                <w:sz w:val="24"/>
                <w:szCs w:val="20"/>
              </w:rPr>
            </w:pPr>
            <w:r>
              <w:rPr>
                <w:rFonts w:hint="eastAsia" w:ascii="宋体" w:hAnsi="宋体" w:eastAsia="宋体" w:cs="宋体"/>
                <w:color w:val="000000"/>
                <w:kern w:val="0"/>
                <w:sz w:val="24"/>
                <w:szCs w:val="24"/>
              </w:rPr>
              <w:t>毕业要求</w:t>
            </w:r>
          </w:p>
        </w:tc>
        <w:tc>
          <w:tcPr>
            <w:tcW w:w="5038" w:type="dxa"/>
            <w:vAlign w:val="center"/>
          </w:tcPr>
          <w:p>
            <w:pPr>
              <w:widowControl/>
              <w:spacing w:line="360" w:lineRule="auto"/>
              <w:jc w:val="left"/>
              <w:rPr>
                <w:rFonts w:ascii="宋体" w:hAnsi="宋体" w:eastAsia="宋体" w:cs="宋体"/>
                <w:color w:val="000000"/>
                <w:kern w:val="0"/>
                <w:sz w:val="24"/>
                <w:szCs w:val="20"/>
              </w:rPr>
            </w:pPr>
            <w:r>
              <w:rPr>
                <w:rFonts w:hint="eastAsia" w:ascii="宋体" w:hAnsi="宋体" w:eastAsia="宋体" w:cs="宋体"/>
                <w:color w:val="000000"/>
                <w:kern w:val="0"/>
                <w:sz w:val="24"/>
                <w:szCs w:val="24"/>
              </w:rPr>
              <w:t>2.2 符合对学生ASciT（爱科技）关键能力的培养要求。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11" w:type="dxa"/>
            <w:vMerge w:val="restart"/>
            <w:vAlign w:val="center"/>
          </w:tcPr>
          <w:p>
            <w:pPr>
              <w:spacing w:line="360" w:lineRule="auto"/>
              <w:jc w:val="center"/>
              <w:rPr>
                <w:rFonts w:ascii="宋体" w:hAnsi="宋体" w:eastAsia="宋体" w:cs="宋体"/>
                <w:kern w:val="0"/>
                <w:sz w:val="24"/>
                <w:szCs w:val="20"/>
              </w:rPr>
            </w:pPr>
            <w:r>
              <w:rPr>
                <w:rFonts w:hint="eastAsia" w:ascii="宋体" w:hAnsi="宋体" w:eastAsia="宋体" w:cs="宋体"/>
                <w:color w:val="000000"/>
                <w:kern w:val="0"/>
                <w:sz w:val="24"/>
                <w:szCs w:val="24"/>
              </w:rPr>
              <w:t>本科课程质量通用标准</w:t>
            </w:r>
          </w:p>
        </w:tc>
        <w:tc>
          <w:tcPr>
            <w:tcW w:w="1575" w:type="dxa"/>
            <w:vAlign w:val="center"/>
          </w:tcPr>
          <w:p>
            <w:pPr>
              <w:widowControl/>
              <w:spacing w:line="360" w:lineRule="auto"/>
              <w:jc w:val="center"/>
              <w:rPr>
                <w:rFonts w:ascii="宋体" w:hAnsi="宋体" w:eastAsia="宋体" w:cs="宋体"/>
                <w:color w:val="000000"/>
                <w:kern w:val="0"/>
                <w:sz w:val="24"/>
                <w:szCs w:val="20"/>
              </w:rPr>
            </w:pPr>
            <w:r>
              <w:rPr>
                <w:rFonts w:hint="eastAsia" w:ascii="宋体" w:hAnsi="宋体" w:eastAsia="宋体" w:cs="宋体"/>
                <w:color w:val="000000"/>
                <w:kern w:val="0"/>
                <w:sz w:val="24"/>
                <w:szCs w:val="24"/>
              </w:rPr>
              <w:t>课程教学目标</w:t>
            </w:r>
          </w:p>
        </w:tc>
        <w:tc>
          <w:tcPr>
            <w:tcW w:w="5038" w:type="dxa"/>
            <w:vAlign w:val="center"/>
          </w:tcPr>
          <w:p>
            <w:pPr>
              <w:widowControl/>
              <w:spacing w:line="360" w:lineRule="auto"/>
              <w:jc w:val="left"/>
              <w:rPr>
                <w:rFonts w:ascii="宋体" w:hAnsi="宋体" w:eastAsia="宋体" w:cs="宋体"/>
                <w:kern w:val="0"/>
                <w:sz w:val="24"/>
                <w:szCs w:val="20"/>
              </w:rPr>
            </w:pPr>
            <w:r>
              <w:rPr>
                <w:rFonts w:hint="eastAsia" w:ascii="宋体" w:hAnsi="宋体" w:eastAsia="宋体" w:cs="宋体"/>
                <w:kern w:val="0"/>
                <w:sz w:val="24"/>
                <w:szCs w:val="24"/>
              </w:rPr>
              <w:t>1.2 准确描述学生的学习成果，涵盖“价值引领、能力培养、知识传授”三个维度。除“记忆、理解”等低阶性目标外，还应包含“分析、评价、创造”等高阶性目标。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vMerge w:val="continue"/>
            <w:vAlign w:val="center"/>
          </w:tcPr>
          <w:p>
            <w:pPr>
              <w:spacing w:line="360" w:lineRule="auto"/>
              <w:jc w:val="center"/>
              <w:rPr>
                <w:rFonts w:ascii="宋体" w:hAnsi="宋体" w:eastAsia="宋体" w:cs="宋体"/>
                <w:color w:val="000000"/>
                <w:kern w:val="0"/>
                <w:sz w:val="24"/>
                <w:szCs w:val="20"/>
              </w:rPr>
            </w:pPr>
          </w:p>
        </w:tc>
        <w:tc>
          <w:tcPr>
            <w:tcW w:w="1575" w:type="dxa"/>
            <w:vAlign w:val="center"/>
          </w:tcPr>
          <w:p>
            <w:pPr>
              <w:widowControl/>
              <w:spacing w:line="360" w:lineRule="auto"/>
              <w:jc w:val="center"/>
              <w:rPr>
                <w:rFonts w:ascii="宋体" w:hAnsi="宋体" w:eastAsia="宋体" w:cs="宋体"/>
                <w:color w:val="000000"/>
                <w:kern w:val="0"/>
                <w:sz w:val="24"/>
                <w:szCs w:val="20"/>
              </w:rPr>
            </w:pPr>
            <w:r>
              <w:rPr>
                <w:rFonts w:hint="eastAsia" w:ascii="宋体" w:hAnsi="宋体" w:eastAsia="宋体" w:cs="宋体"/>
                <w:color w:val="000000"/>
                <w:kern w:val="0"/>
                <w:sz w:val="24"/>
                <w:szCs w:val="24"/>
              </w:rPr>
              <w:t>课程教学设计</w:t>
            </w:r>
          </w:p>
        </w:tc>
        <w:tc>
          <w:tcPr>
            <w:tcW w:w="5038" w:type="dxa"/>
            <w:vAlign w:val="center"/>
          </w:tcPr>
          <w:p>
            <w:pPr>
              <w:widowControl/>
              <w:spacing w:line="360" w:lineRule="auto"/>
              <w:jc w:val="left"/>
              <w:rPr>
                <w:rFonts w:ascii="宋体" w:hAnsi="宋体" w:eastAsia="宋体" w:cs="宋体"/>
                <w:kern w:val="0"/>
                <w:sz w:val="24"/>
                <w:szCs w:val="20"/>
              </w:rPr>
            </w:pPr>
            <w:r>
              <w:rPr>
                <w:rFonts w:hint="eastAsia" w:ascii="宋体" w:hAnsi="宋体" w:eastAsia="宋体" w:cs="宋体"/>
                <w:kern w:val="0"/>
                <w:sz w:val="24"/>
                <w:szCs w:val="24"/>
              </w:rPr>
              <w:t>2.2 教学设计符合课程思政要求。结合学科专业特色和课程内容充分挖掘思政教育元素。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vMerge w:val="continue"/>
            <w:vAlign w:val="center"/>
          </w:tcPr>
          <w:p>
            <w:pPr>
              <w:spacing w:line="360" w:lineRule="auto"/>
              <w:jc w:val="center"/>
              <w:rPr>
                <w:rFonts w:ascii="宋体" w:hAnsi="宋体" w:eastAsia="宋体" w:cs="宋体"/>
                <w:kern w:val="0"/>
                <w:sz w:val="24"/>
                <w:szCs w:val="20"/>
              </w:rPr>
            </w:pPr>
          </w:p>
        </w:tc>
        <w:tc>
          <w:tcPr>
            <w:tcW w:w="1575" w:type="dxa"/>
            <w:vAlign w:val="center"/>
          </w:tcPr>
          <w:p>
            <w:pPr>
              <w:widowControl/>
              <w:spacing w:line="360" w:lineRule="auto"/>
              <w:jc w:val="center"/>
              <w:rPr>
                <w:rFonts w:ascii="宋体" w:hAnsi="宋体" w:eastAsia="宋体" w:cs="宋体"/>
                <w:i/>
                <w:iCs/>
                <w:color w:val="000000"/>
                <w:kern w:val="0"/>
                <w:sz w:val="24"/>
                <w:szCs w:val="20"/>
              </w:rPr>
            </w:pPr>
            <w:r>
              <w:rPr>
                <w:rFonts w:hint="eastAsia" w:ascii="宋体" w:hAnsi="宋体" w:eastAsia="宋体" w:cs="宋体"/>
                <w:kern w:val="0"/>
                <w:sz w:val="24"/>
                <w:szCs w:val="24"/>
              </w:rPr>
              <w:t>课程内容与资源</w:t>
            </w:r>
          </w:p>
        </w:tc>
        <w:tc>
          <w:tcPr>
            <w:tcW w:w="5038" w:type="dxa"/>
            <w:vAlign w:val="center"/>
          </w:tcPr>
          <w:p>
            <w:pPr>
              <w:widowControl/>
              <w:spacing w:line="360" w:lineRule="auto"/>
              <w:jc w:val="left"/>
              <w:rPr>
                <w:rFonts w:ascii="宋体" w:hAnsi="宋体" w:eastAsia="宋体" w:cs="宋体"/>
                <w:kern w:val="0"/>
                <w:sz w:val="24"/>
                <w:szCs w:val="20"/>
              </w:rPr>
            </w:pPr>
            <w:r>
              <w:rPr>
                <w:rFonts w:hint="eastAsia" w:ascii="宋体" w:hAnsi="宋体" w:eastAsia="宋体" w:cs="宋体"/>
                <w:kern w:val="0"/>
                <w:sz w:val="24"/>
                <w:szCs w:val="24"/>
              </w:rPr>
              <w:t>3.2 课程内容知识点清晰，逻辑架构合理，能够体现跨专业和多学科思维，有效融入思政元素。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vMerge w:val="restart"/>
            <w:vAlign w:val="center"/>
          </w:tcPr>
          <w:p>
            <w:pPr>
              <w:spacing w:line="360" w:lineRule="auto"/>
              <w:jc w:val="center"/>
              <w:rPr>
                <w:rFonts w:ascii="宋体" w:hAnsi="宋体" w:eastAsia="宋体" w:cs="宋体"/>
                <w:kern w:val="0"/>
                <w:sz w:val="24"/>
                <w:szCs w:val="20"/>
              </w:rPr>
            </w:pPr>
            <w:r>
              <w:rPr>
                <w:rFonts w:hint="eastAsia" w:ascii="宋体" w:hAnsi="宋体" w:eastAsia="宋体" w:cs="宋体"/>
                <w:color w:val="000000"/>
                <w:kern w:val="0"/>
                <w:sz w:val="24"/>
                <w:szCs w:val="24"/>
              </w:rPr>
              <w:t>本科课程课堂教学质量标准</w:t>
            </w:r>
          </w:p>
        </w:tc>
        <w:tc>
          <w:tcPr>
            <w:tcW w:w="1575" w:type="dxa"/>
            <w:vAlign w:val="center"/>
          </w:tcPr>
          <w:p>
            <w:pPr>
              <w:widowControl/>
              <w:spacing w:line="360" w:lineRule="auto"/>
              <w:jc w:val="center"/>
              <w:rPr>
                <w:rFonts w:ascii="宋体" w:hAnsi="宋体" w:eastAsia="宋体" w:cs="宋体"/>
                <w:color w:val="000000"/>
                <w:kern w:val="0"/>
                <w:sz w:val="24"/>
                <w:szCs w:val="20"/>
              </w:rPr>
            </w:pPr>
            <w:r>
              <w:rPr>
                <w:rFonts w:hint="eastAsia" w:ascii="宋体" w:hAnsi="宋体" w:eastAsia="宋体" w:cs="宋体"/>
                <w:color w:val="000000"/>
                <w:kern w:val="0"/>
                <w:sz w:val="24"/>
                <w:szCs w:val="24"/>
              </w:rPr>
              <w:t>教学规范</w:t>
            </w:r>
          </w:p>
        </w:tc>
        <w:tc>
          <w:tcPr>
            <w:tcW w:w="5038" w:type="dxa"/>
            <w:vAlign w:val="center"/>
          </w:tcPr>
          <w:p>
            <w:pPr>
              <w:widowControl/>
              <w:spacing w:line="360" w:lineRule="auto"/>
              <w:jc w:val="left"/>
              <w:rPr>
                <w:rFonts w:ascii="宋体" w:hAnsi="宋体" w:eastAsia="宋体" w:cs="宋体"/>
                <w:kern w:val="0"/>
                <w:sz w:val="24"/>
                <w:szCs w:val="20"/>
              </w:rPr>
            </w:pPr>
            <w:r>
              <w:rPr>
                <w:rFonts w:hint="eastAsia" w:ascii="宋体" w:hAnsi="宋体" w:eastAsia="宋体" w:cs="宋体"/>
                <w:kern w:val="0"/>
                <w:sz w:val="24"/>
                <w:szCs w:val="24"/>
              </w:rPr>
              <w:t>1.1 课堂教学中言行得当，注重言传身教，以积极、正面的教学态度引领学生价值观的塑造。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vMerge w:val="continue"/>
          </w:tcPr>
          <w:p>
            <w:pPr>
              <w:spacing w:line="360" w:lineRule="auto"/>
              <w:rPr>
                <w:rFonts w:ascii="宋体" w:hAnsi="宋体" w:eastAsia="宋体" w:cs="宋体"/>
                <w:kern w:val="0"/>
                <w:sz w:val="24"/>
                <w:szCs w:val="20"/>
              </w:rPr>
            </w:pPr>
          </w:p>
        </w:tc>
        <w:tc>
          <w:tcPr>
            <w:tcW w:w="1575" w:type="dxa"/>
            <w:vAlign w:val="center"/>
          </w:tcPr>
          <w:p>
            <w:pPr>
              <w:widowControl/>
              <w:spacing w:line="360" w:lineRule="auto"/>
              <w:jc w:val="center"/>
              <w:rPr>
                <w:rFonts w:ascii="宋体" w:hAnsi="宋体" w:eastAsia="宋体" w:cs="宋体"/>
                <w:color w:val="000000"/>
                <w:kern w:val="0"/>
                <w:sz w:val="24"/>
                <w:szCs w:val="20"/>
              </w:rPr>
            </w:pPr>
            <w:r>
              <w:rPr>
                <w:rFonts w:hint="eastAsia" w:ascii="宋体" w:hAnsi="宋体" w:eastAsia="宋体" w:cs="宋体"/>
                <w:color w:val="000000"/>
                <w:kern w:val="0"/>
                <w:sz w:val="24"/>
                <w:szCs w:val="24"/>
              </w:rPr>
              <w:t>教学内容</w:t>
            </w:r>
          </w:p>
        </w:tc>
        <w:tc>
          <w:tcPr>
            <w:tcW w:w="5038" w:type="dxa"/>
            <w:vAlign w:val="center"/>
          </w:tcPr>
          <w:p>
            <w:pPr>
              <w:widowControl/>
              <w:spacing w:line="360" w:lineRule="auto"/>
              <w:jc w:val="left"/>
              <w:rPr>
                <w:rFonts w:ascii="宋体" w:hAnsi="宋体" w:eastAsia="宋体" w:cs="宋体"/>
                <w:kern w:val="0"/>
                <w:sz w:val="24"/>
                <w:szCs w:val="20"/>
              </w:rPr>
            </w:pPr>
            <w:r>
              <w:rPr>
                <w:rFonts w:hint="eastAsia" w:ascii="宋体" w:hAnsi="宋体" w:eastAsia="宋体" w:cs="宋体"/>
                <w:kern w:val="0"/>
                <w:sz w:val="24"/>
                <w:szCs w:val="24"/>
              </w:rPr>
              <w:t>2.1 课堂教学内容融入思政元素，注重对学生的价值引领和情感塑造。</w:t>
            </w:r>
          </w:p>
        </w:tc>
      </w:tr>
    </w:tbl>
    <w:p>
      <w:pPr>
        <w:spacing w:line="360" w:lineRule="auto"/>
        <w:ind w:firstLine="562" w:firstLineChars="200"/>
        <w:rPr>
          <w:b/>
          <w:bCs/>
          <w:sz w:val="28"/>
          <w:szCs w:val="28"/>
        </w:rPr>
      </w:pPr>
    </w:p>
    <w:p>
      <w:pPr>
        <w:spacing w:line="360" w:lineRule="auto"/>
        <w:ind w:firstLine="562" w:firstLineChars="200"/>
        <w:rPr>
          <w:b/>
          <w:bCs/>
          <w:sz w:val="28"/>
          <w:szCs w:val="28"/>
        </w:rPr>
      </w:pPr>
      <w:r>
        <w:rPr>
          <w:rFonts w:hint="eastAsia"/>
          <w:b/>
          <w:bCs/>
          <w:sz w:val="28"/>
          <w:szCs w:val="28"/>
        </w:rPr>
        <w:t>3.以领航课程为试点开展评价，确立三级领航课程体系</w:t>
      </w:r>
    </w:p>
    <w:p>
      <w:pPr>
        <w:spacing w:line="360" w:lineRule="auto"/>
        <w:ind w:firstLine="560" w:firstLineChars="200"/>
        <w:rPr>
          <w:sz w:val="28"/>
          <w:szCs w:val="28"/>
        </w:rPr>
      </w:pPr>
      <w:r>
        <w:rPr>
          <w:rFonts w:hint="eastAsia"/>
          <w:sz w:val="28"/>
          <w:szCs w:val="28"/>
        </w:rPr>
        <w:t>以“32+9”核心能力素养体系为依据，参照新的质量标准对131门课程思政领航课程的建设效果进行综合评价。依据嵌入式课程思政评价模型，在评价过程中涵盖了课程的教学设计、教学实施、教学考核等多个方面，综合使用督导评价、学生评教等信息，最终形成评价结果。根据评价结果，确立了“荣誉课程—示范课程—重点课程”三级领航课程建设体系并提出相应的建设要求（表3-5），确保所有的领航课程都能根据评价结果准确定位、持续改进。</w:t>
      </w:r>
    </w:p>
    <w:p>
      <w:pPr>
        <w:spacing w:line="360" w:lineRule="auto"/>
        <w:ind w:firstLine="560"/>
        <w:jc w:val="center"/>
        <w:rPr>
          <w:sz w:val="24"/>
        </w:rPr>
      </w:pPr>
      <w:r>
        <w:rPr>
          <w:rFonts w:hint="eastAsia"/>
          <w:sz w:val="24"/>
          <w:szCs w:val="24"/>
        </w:rPr>
        <w:t>表3-5 “荣誉课程—示范课程—重点课程”三级体系建设要求（试用）</w:t>
      </w:r>
    </w:p>
    <w:tbl>
      <w:tblPr>
        <w:tblStyle w:val="11"/>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701"/>
        <w:gridCol w:w="1701"/>
        <w:gridCol w:w="1417"/>
        <w:gridCol w:w="1418"/>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shd w:val="clear" w:color="auto" w:fill="auto"/>
            <w:vAlign w:val="center"/>
          </w:tcPr>
          <w:p>
            <w:pPr>
              <w:spacing w:line="360" w:lineRule="auto"/>
              <w:ind w:right="241"/>
              <w:jc w:val="left"/>
              <w:rPr>
                <w:rFonts w:ascii="宋体" w:hAnsi="宋体"/>
                <w:b/>
                <w:sz w:val="24"/>
              </w:rPr>
            </w:pPr>
          </w:p>
        </w:tc>
        <w:tc>
          <w:tcPr>
            <w:tcW w:w="1701" w:type="dxa"/>
            <w:shd w:val="clear" w:color="auto" w:fill="auto"/>
            <w:vAlign w:val="center"/>
          </w:tcPr>
          <w:p>
            <w:pPr>
              <w:spacing w:line="360" w:lineRule="auto"/>
              <w:ind w:right="241"/>
              <w:jc w:val="center"/>
              <w:rPr>
                <w:rFonts w:ascii="宋体" w:hAnsi="宋体"/>
                <w:b/>
                <w:sz w:val="24"/>
              </w:rPr>
            </w:pPr>
            <w:r>
              <w:rPr>
                <w:rFonts w:hint="eastAsia" w:ascii="宋体" w:hAnsi="宋体"/>
                <w:b/>
                <w:sz w:val="24"/>
                <w:szCs w:val="24"/>
              </w:rPr>
              <w:t>定位</w:t>
            </w:r>
          </w:p>
        </w:tc>
        <w:tc>
          <w:tcPr>
            <w:tcW w:w="1701" w:type="dxa"/>
            <w:shd w:val="clear" w:color="auto" w:fill="auto"/>
            <w:vAlign w:val="center"/>
          </w:tcPr>
          <w:p>
            <w:pPr>
              <w:spacing w:line="360" w:lineRule="auto"/>
              <w:ind w:right="241"/>
              <w:jc w:val="left"/>
              <w:rPr>
                <w:rFonts w:ascii="宋体" w:hAnsi="宋体"/>
                <w:b/>
                <w:sz w:val="24"/>
              </w:rPr>
            </w:pPr>
            <w:r>
              <w:rPr>
                <w:rFonts w:hint="eastAsia" w:ascii="宋体" w:hAnsi="宋体"/>
                <w:b/>
                <w:sz w:val="24"/>
                <w:szCs w:val="24"/>
              </w:rPr>
              <w:t>主要任务</w:t>
            </w:r>
          </w:p>
        </w:tc>
        <w:tc>
          <w:tcPr>
            <w:tcW w:w="1417" w:type="dxa"/>
            <w:shd w:val="clear" w:color="auto" w:fill="auto"/>
            <w:vAlign w:val="center"/>
          </w:tcPr>
          <w:p>
            <w:pPr>
              <w:spacing w:line="360" w:lineRule="auto"/>
              <w:ind w:right="241"/>
              <w:jc w:val="center"/>
              <w:rPr>
                <w:rFonts w:ascii="宋体" w:hAnsi="宋体"/>
                <w:b/>
                <w:sz w:val="24"/>
              </w:rPr>
            </w:pPr>
            <w:r>
              <w:rPr>
                <w:rFonts w:hint="eastAsia" w:ascii="宋体" w:hAnsi="宋体"/>
                <w:b/>
                <w:sz w:val="24"/>
                <w:szCs w:val="24"/>
              </w:rPr>
              <w:t>基本要求</w:t>
            </w:r>
          </w:p>
        </w:tc>
        <w:tc>
          <w:tcPr>
            <w:tcW w:w="1418" w:type="dxa"/>
            <w:shd w:val="clear" w:color="auto" w:fill="auto"/>
            <w:vAlign w:val="center"/>
          </w:tcPr>
          <w:p>
            <w:pPr>
              <w:spacing w:line="360" w:lineRule="auto"/>
              <w:ind w:right="241"/>
              <w:jc w:val="left"/>
              <w:rPr>
                <w:rFonts w:ascii="宋体" w:hAnsi="宋体"/>
                <w:b/>
                <w:sz w:val="24"/>
              </w:rPr>
            </w:pPr>
            <w:r>
              <w:rPr>
                <w:rFonts w:hint="eastAsia" w:ascii="宋体" w:hAnsi="宋体"/>
                <w:b/>
                <w:sz w:val="24"/>
                <w:szCs w:val="24"/>
              </w:rPr>
              <w:t>课程负责人</w:t>
            </w:r>
          </w:p>
        </w:tc>
        <w:tc>
          <w:tcPr>
            <w:tcW w:w="1417" w:type="dxa"/>
            <w:shd w:val="clear" w:color="auto" w:fill="auto"/>
            <w:vAlign w:val="center"/>
          </w:tcPr>
          <w:p>
            <w:pPr>
              <w:spacing w:line="360" w:lineRule="auto"/>
              <w:ind w:right="241"/>
              <w:jc w:val="left"/>
              <w:rPr>
                <w:rFonts w:ascii="宋体" w:hAnsi="宋体"/>
                <w:b/>
                <w:sz w:val="24"/>
              </w:rPr>
            </w:pPr>
            <w:r>
              <w:rPr>
                <w:rFonts w:hint="eastAsia" w:ascii="宋体" w:hAnsi="宋体"/>
                <w:b/>
                <w:sz w:val="24"/>
                <w:szCs w:val="24"/>
              </w:rPr>
              <w:t>标志性</w:t>
            </w:r>
            <w:r>
              <w:rPr>
                <w:rFonts w:ascii="宋体" w:hAnsi="宋体"/>
                <w:b/>
                <w:sz w:val="24"/>
                <w:szCs w:val="24"/>
              </w:rPr>
              <w:t>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shd w:val="clear" w:color="auto" w:fill="auto"/>
            <w:vAlign w:val="center"/>
          </w:tcPr>
          <w:p>
            <w:pPr>
              <w:spacing w:line="360" w:lineRule="auto"/>
              <w:ind w:right="241"/>
              <w:jc w:val="left"/>
              <w:rPr>
                <w:rFonts w:ascii="宋体" w:hAnsi="宋体"/>
                <w:b/>
                <w:sz w:val="24"/>
              </w:rPr>
            </w:pPr>
            <w:r>
              <w:rPr>
                <w:rFonts w:hint="eastAsia" w:ascii="宋体" w:hAnsi="宋体"/>
                <w:b/>
                <w:sz w:val="24"/>
                <w:szCs w:val="24"/>
              </w:rPr>
              <w:t>荣誉课程</w:t>
            </w:r>
          </w:p>
        </w:tc>
        <w:tc>
          <w:tcPr>
            <w:tcW w:w="1701" w:type="dxa"/>
            <w:shd w:val="clear" w:color="auto" w:fill="auto"/>
            <w:vAlign w:val="center"/>
          </w:tcPr>
          <w:p>
            <w:pPr>
              <w:spacing w:line="360" w:lineRule="auto"/>
              <w:ind w:right="241"/>
              <w:jc w:val="left"/>
              <w:rPr>
                <w:rFonts w:ascii="宋体" w:hAnsi="宋体"/>
                <w:sz w:val="24"/>
              </w:rPr>
            </w:pPr>
            <w:r>
              <w:rPr>
                <w:rFonts w:hint="eastAsia" w:ascii="宋体" w:hAnsi="宋体"/>
                <w:sz w:val="24"/>
                <w:szCs w:val="24"/>
              </w:rPr>
              <w:t>学校</w:t>
            </w:r>
            <w:r>
              <w:rPr>
                <w:rFonts w:ascii="宋体" w:hAnsi="宋体"/>
                <w:sz w:val="24"/>
                <w:szCs w:val="24"/>
              </w:rPr>
              <w:t>的名片</w:t>
            </w:r>
            <w:r>
              <w:rPr>
                <w:rFonts w:hint="eastAsia" w:ascii="宋体" w:hAnsi="宋体"/>
                <w:sz w:val="24"/>
                <w:szCs w:val="24"/>
              </w:rPr>
              <w:t>，具有良好的社会声誉和影响力</w:t>
            </w:r>
          </w:p>
        </w:tc>
        <w:tc>
          <w:tcPr>
            <w:tcW w:w="1701" w:type="dxa"/>
            <w:shd w:val="clear" w:color="auto" w:fill="auto"/>
            <w:vAlign w:val="center"/>
          </w:tcPr>
          <w:p>
            <w:pPr>
              <w:spacing w:line="360" w:lineRule="auto"/>
              <w:ind w:right="241"/>
              <w:jc w:val="left"/>
              <w:rPr>
                <w:rFonts w:ascii="宋体" w:hAnsi="宋体"/>
                <w:sz w:val="24"/>
              </w:rPr>
            </w:pPr>
            <w:r>
              <w:rPr>
                <w:rFonts w:hint="eastAsia" w:ascii="宋体" w:hAnsi="宋体"/>
                <w:sz w:val="22"/>
                <w:szCs w:val="24"/>
              </w:rPr>
              <w:t>能够承担对内培训、</w:t>
            </w:r>
            <w:r>
              <w:rPr>
                <w:rFonts w:ascii="宋体" w:hAnsi="宋体"/>
                <w:sz w:val="22"/>
                <w:szCs w:val="24"/>
              </w:rPr>
              <w:t>对外宣讲</w:t>
            </w:r>
            <w:r>
              <w:rPr>
                <w:rFonts w:hint="eastAsia" w:ascii="宋体" w:hAnsi="宋体"/>
                <w:sz w:val="22"/>
                <w:szCs w:val="24"/>
              </w:rPr>
              <w:t>的</w:t>
            </w:r>
            <w:r>
              <w:rPr>
                <w:rFonts w:ascii="宋体" w:hAnsi="宋体"/>
                <w:sz w:val="22"/>
                <w:szCs w:val="24"/>
              </w:rPr>
              <w:t>任务</w:t>
            </w:r>
            <w:r>
              <w:rPr>
                <w:rFonts w:hint="eastAsia" w:ascii="宋体" w:hAnsi="宋体"/>
                <w:sz w:val="24"/>
                <w:szCs w:val="24"/>
              </w:rPr>
              <w:t xml:space="preserve"> </w:t>
            </w:r>
          </w:p>
        </w:tc>
        <w:tc>
          <w:tcPr>
            <w:tcW w:w="1417" w:type="dxa"/>
            <w:shd w:val="clear" w:color="auto" w:fill="auto"/>
            <w:vAlign w:val="center"/>
          </w:tcPr>
          <w:p>
            <w:pPr>
              <w:spacing w:line="360" w:lineRule="auto"/>
              <w:ind w:right="241"/>
              <w:jc w:val="center"/>
              <w:rPr>
                <w:rFonts w:ascii="宋体" w:hAnsi="宋体"/>
                <w:sz w:val="22"/>
              </w:rPr>
            </w:pPr>
            <w:r>
              <w:rPr>
                <w:rFonts w:hint="eastAsia" w:ascii="宋体" w:hAnsi="宋体"/>
                <w:sz w:val="22"/>
                <w:szCs w:val="24"/>
              </w:rPr>
              <w:t>有</w:t>
            </w:r>
            <w:r>
              <w:rPr>
                <w:rFonts w:ascii="宋体" w:hAnsi="宋体"/>
                <w:sz w:val="22"/>
                <w:szCs w:val="24"/>
              </w:rPr>
              <w:t>可复制、可推广的</w:t>
            </w:r>
            <w:r>
              <w:rPr>
                <w:rFonts w:hint="eastAsia" w:ascii="宋体" w:hAnsi="宋体"/>
                <w:sz w:val="22"/>
                <w:szCs w:val="24"/>
              </w:rPr>
              <w:t>系统</w:t>
            </w:r>
            <w:r>
              <w:rPr>
                <w:rFonts w:ascii="宋体" w:hAnsi="宋体"/>
                <w:sz w:val="22"/>
                <w:szCs w:val="24"/>
              </w:rPr>
              <w:t>经验</w:t>
            </w:r>
          </w:p>
        </w:tc>
        <w:tc>
          <w:tcPr>
            <w:tcW w:w="1418" w:type="dxa"/>
            <w:shd w:val="clear" w:color="auto" w:fill="auto"/>
            <w:vAlign w:val="center"/>
          </w:tcPr>
          <w:p>
            <w:pPr>
              <w:spacing w:line="360" w:lineRule="auto"/>
              <w:ind w:right="241"/>
              <w:jc w:val="left"/>
              <w:rPr>
                <w:rFonts w:ascii="宋体" w:hAnsi="宋体"/>
                <w:sz w:val="24"/>
              </w:rPr>
            </w:pPr>
            <w:r>
              <w:rPr>
                <w:rFonts w:hint="eastAsia" w:ascii="宋体" w:hAnsi="宋体"/>
                <w:sz w:val="24"/>
                <w:szCs w:val="24"/>
              </w:rPr>
              <w:t>经验丰富</w:t>
            </w:r>
            <w:r>
              <w:rPr>
                <w:rFonts w:ascii="宋体" w:hAnsi="宋体"/>
                <w:sz w:val="24"/>
                <w:szCs w:val="24"/>
              </w:rPr>
              <w:t>的专家型教师</w:t>
            </w:r>
          </w:p>
        </w:tc>
        <w:tc>
          <w:tcPr>
            <w:tcW w:w="1417" w:type="dxa"/>
            <w:shd w:val="clear" w:color="auto" w:fill="auto"/>
            <w:vAlign w:val="center"/>
          </w:tcPr>
          <w:p>
            <w:pPr>
              <w:spacing w:line="360" w:lineRule="auto"/>
              <w:ind w:right="241"/>
              <w:jc w:val="left"/>
              <w:rPr>
                <w:rFonts w:ascii="宋体" w:hAnsi="宋体"/>
                <w:sz w:val="24"/>
              </w:rPr>
            </w:pPr>
            <w:r>
              <w:rPr>
                <w:rFonts w:hint="eastAsia" w:ascii="宋体" w:hAnsi="宋体"/>
                <w:sz w:val="24"/>
                <w:szCs w:val="24"/>
              </w:rPr>
              <w:t>课程思政教学</w:t>
            </w:r>
            <w:r>
              <w:rPr>
                <w:rFonts w:ascii="宋体" w:hAnsi="宋体"/>
                <w:sz w:val="24"/>
                <w:szCs w:val="24"/>
              </w:rPr>
              <w:t>指南、示范课堂、优秀案例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shd w:val="clear" w:color="auto" w:fill="auto"/>
            <w:vAlign w:val="center"/>
          </w:tcPr>
          <w:p>
            <w:pPr>
              <w:spacing w:line="360" w:lineRule="auto"/>
              <w:ind w:right="241"/>
              <w:jc w:val="left"/>
              <w:rPr>
                <w:rFonts w:ascii="宋体" w:hAnsi="宋体"/>
                <w:b/>
                <w:sz w:val="24"/>
              </w:rPr>
            </w:pPr>
            <w:r>
              <w:rPr>
                <w:rFonts w:hint="eastAsia" w:ascii="宋体" w:hAnsi="宋体"/>
                <w:b/>
                <w:sz w:val="24"/>
                <w:szCs w:val="24"/>
              </w:rPr>
              <w:t>示范课程</w:t>
            </w:r>
          </w:p>
        </w:tc>
        <w:tc>
          <w:tcPr>
            <w:tcW w:w="1701" w:type="dxa"/>
            <w:shd w:val="clear" w:color="auto" w:fill="auto"/>
            <w:vAlign w:val="center"/>
          </w:tcPr>
          <w:p>
            <w:pPr>
              <w:spacing w:line="360" w:lineRule="auto"/>
              <w:ind w:right="241"/>
              <w:jc w:val="left"/>
              <w:rPr>
                <w:rFonts w:ascii="宋体" w:hAnsi="宋体"/>
                <w:sz w:val="24"/>
              </w:rPr>
            </w:pPr>
            <w:r>
              <w:rPr>
                <w:rFonts w:hint="eastAsia" w:ascii="宋体" w:hAnsi="宋体"/>
                <w:sz w:val="24"/>
                <w:szCs w:val="24"/>
              </w:rPr>
              <w:t>校内标杆，能在</w:t>
            </w:r>
            <w:r>
              <w:rPr>
                <w:rFonts w:ascii="宋体" w:hAnsi="宋体"/>
                <w:sz w:val="24"/>
                <w:szCs w:val="24"/>
              </w:rPr>
              <w:t>本学科专业</w:t>
            </w:r>
            <w:r>
              <w:rPr>
                <w:rFonts w:hint="eastAsia" w:ascii="宋体" w:hAnsi="宋体"/>
                <w:sz w:val="24"/>
                <w:szCs w:val="24"/>
              </w:rPr>
              <w:t>发挥</w:t>
            </w:r>
            <w:r>
              <w:rPr>
                <w:rFonts w:ascii="宋体" w:hAnsi="宋体"/>
                <w:sz w:val="24"/>
                <w:szCs w:val="24"/>
              </w:rPr>
              <w:t>示范</w:t>
            </w:r>
            <w:r>
              <w:rPr>
                <w:rFonts w:hint="eastAsia" w:ascii="宋体" w:hAnsi="宋体"/>
                <w:sz w:val="24"/>
                <w:szCs w:val="24"/>
              </w:rPr>
              <w:t>引领</w:t>
            </w:r>
            <w:r>
              <w:rPr>
                <w:rFonts w:ascii="宋体" w:hAnsi="宋体"/>
                <w:sz w:val="24"/>
                <w:szCs w:val="24"/>
              </w:rPr>
              <w:t>作用</w:t>
            </w:r>
          </w:p>
        </w:tc>
        <w:tc>
          <w:tcPr>
            <w:tcW w:w="1701" w:type="dxa"/>
            <w:shd w:val="clear" w:color="auto" w:fill="auto"/>
            <w:vAlign w:val="center"/>
          </w:tcPr>
          <w:p>
            <w:pPr>
              <w:spacing w:line="360" w:lineRule="auto"/>
              <w:ind w:right="241"/>
              <w:jc w:val="left"/>
              <w:rPr>
                <w:rFonts w:ascii="宋体" w:hAnsi="宋体"/>
                <w:sz w:val="24"/>
              </w:rPr>
            </w:pPr>
            <w:r>
              <w:rPr>
                <w:rFonts w:hint="eastAsia" w:ascii="宋体" w:hAnsi="宋体"/>
                <w:sz w:val="22"/>
                <w:szCs w:val="24"/>
              </w:rPr>
              <w:t>能</w:t>
            </w:r>
            <w:r>
              <w:rPr>
                <w:rFonts w:ascii="宋体" w:hAnsi="宋体"/>
                <w:sz w:val="22"/>
                <w:szCs w:val="24"/>
              </w:rPr>
              <w:t>参加</w:t>
            </w:r>
            <w:r>
              <w:rPr>
                <w:rFonts w:hint="eastAsia" w:ascii="宋体" w:hAnsi="宋体"/>
                <w:sz w:val="22"/>
                <w:szCs w:val="24"/>
              </w:rPr>
              <w:t>校内外</w:t>
            </w:r>
            <w:r>
              <w:rPr>
                <w:rFonts w:ascii="宋体" w:hAnsi="宋体"/>
                <w:sz w:val="22"/>
                <w:szCs w:val="24"/>
              </w:rPr>
              <w:t>经验交流</w:t>
            </w:r>
            <w:r>
              <w:rPr>
                <w:rFonts w:hint="eastAsia" w:ascii="宋体" w:hAnsi="宋体"/>
                <w:sz w:val="22"/>
                <w:szCs w:val="24"/>
              </w:rPr>
              <w:t>，</w:t>
            </w:r>
            <w:r>
              <w:rPr>
                <w:rFonts w:ascii="宋体" w:hAnsi="宋体"/>
                <w:sz w:val="22"/>
                <w:szCs w:val="24"/>
              </w:rPr>
              <w:t>举办</w:t>
            </w:r>
            <w:r>
              <w:rPr>
                <w:rFonts w:hint="eastAsia" w:ascii="宋体" w:hAnsi="宋体"/>
                <w:sz w:val="22"/>
                <w:szCs w:val="24"/>
              </w:rPr>
              <w:t>校内</w:t>
            </w:r>
            <w:r>
              <w:rPr>
                <w:rFonts w:ascii="宋体" w:hAnsi="宋体"/>
                <w:sz w:val="22"/>
                <w:szCs w:val="24"/>
              </w:rPr>
              <w:t>观摩课</w:t>
            </w:r>
            <w:r>
              <w:rPr>
                <w:rFonts w:hint="eastAsia" w:ascii="宋体" w:hAnsi="宋体"/>
                <w:sz w:val="22"/>
                <w:szCs w:val="24"/>
              </w:rPr>
              <w:t>，</w:t>
            </w:r>
            <w:r>
              <w:rPr>
                <w:rFonts w:ascii="宋体" w:hAnsi="宋体"/>
                <w:sz w:val="22"/>
                <w:szCs w:val="24"/>
              </w:rPr>
              <w:t>凝练优秀案例</w:t>
            </w:r>
          </w:p>
        </w:tc>
        <w:tc>
          <w:tcPr>
            <w:tcW w:w="1417" w:type="dxa"/>
            <w:shd w:val="clear" w:color="auto" w:fill="auto"/>
            <w:vAlign w:val="center"/>
          </w:tcPr>
          <w:p>
            <w:pPr>
              <w:spacing w:line="360" w:lineRule="auto"/>
              <w:ind w:right="241"/>
              <w:jc w:val="left"/>
              <w:rPr>
                <w:rFonts w:ascii="宋体" w:hAnsi="宋体"/>
                <w:sz w:val="22"/>
              </w:rPr>
            </w:pPr>
            <w:r>
              <w:rPr>
                <w:rFonts w:hint="eastAsia" w:ascii="宋体" w:hAnsi="宋体"/>
                <w:sz w:val="22"/>
                <w:szCs w:val="24"/>
              </w:rPr>
              <w:t>在某些方面</w:t>
            </w:r>
            <w:r>
              <w:rPr>
                <w:rFonts w:ascii="宋体" w:hAnsi="宋体"/>
                <w:sz w:val="22"/>
                <w:szCs w:val="24"/>
              </w:rPr>
              <w:t>形成</w:t>
            </w:r>
            <w:r>
              <w:rPr>
                <w:rFonts w:hint="eastAsia" w:ascii="宋体" w:hAnsi="宋体"/>
                <w:sz w:val="22"/>
                <w:szCs w:val="24"/>
              </w:rPr>
              <w:t>系统总结</w:t>
            </w:r>
            <w:r>
              <w:rPr>
                <w:rFonts w:ascii="宋体" w:hAnsi="宋体"/>
                <w:sz w:val="22"/>
                <w:szCs w:val="24"/>
              </w:rPr>
              <w:t>的教学经验</w:t>
            </w:r>
          </w:p>
        </w:tc>
        <w:tc>
          <w:tcPr>
            <w:tcW w:w="1418" w:type="dxa"/>
            <w:shd w:val="clear" w:color="auto" w:fill="auto"/>
            <w:vAlign w:val="center"/>
          </w:tcPr>
          <w:p>
            <w:pPr>
              <w:spacing w:line="360" w:lineRule="auto"/>
              <w:ind w:right="241"/>
              <w:jc w:val="left"/>
              <w:rPr>
                <w:rFonts w:ascii="宋体" w:hAnsi="宋体"/>
                <w:sz w:val="24"/>
              </w:rPr>
            </w:pPr>
            <w:r>
              <w:rPr>
                <w:rFonts w:hint="eastAsia" w:ascii="宋体" w:hAnsi="宋体"/>
                <w:sz w:val="24"/>
                <w:szCs w:val="24"/>
              </w:rPr>
              <w:t>经验丰富</w:t>
            </w:r>
            <w:r>
              <w:rPr>
                <w:rFonts w:ascii="宋体" w:hAnsi="宋体"/>
                <w:sz w:val="24"/>
                <w:szCs w:val="24"/>
              </w:rPr>
              <w:t>但非专家型的教师</w:t>
            </w:r>
          </w:p>
        </w:tc>
        <w:tc>
          <w:tcPr>
            <w:tcW w:w="1417" w:type="dxa"/>
            <w:shd w:val="clear" w:color="auto" w:fill="auto"/>
            <w:vAlign w:val="center"/>
          </w:tcPr>
          <w:p>
            <w:pPr>
              <w:spacing w:line="360" w:lineRule="auto"/>
              <w:ind w:right="241"/>
              <w:jc w:val="left"/>
              <w:rPr>
                <w:rFonts w:ascii="宋体" w:hAnsi="宋体"/>
                <w:sz w:val="24"/>
              </w:rPr>
            </w:pPr>
            <w:r>
              <w:rPr>
                <w:rFonts w:hint="eastAsia" w:ascii="宋体" w:hAnsi="宋体"/>
                <w:sz w:val="24"/>
                <w:szCs w:val="24"/>
              </w:rPr>
              <w:t>示范课堂</w:t>
            </w:r>
            <w:r>
              <w:rPr>
                <w:rFonts w:ascii="宋体" w:hAnsi="宋体"/>
                <w:sz w:val="24"/>
                <w:szCs w:val="24"/>
              </w:rPr>
              <w:t>、优秀案例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shd w:val="clear" w:color="auto" w:fill="auto"/>
            <w:vAlign w:val="center"/>
          </w:tcPr>
          <w:p>
            <w:pPr>
              <w:spacing w:line="360" w:lineRule="auto"/>
              <w:ind w:right="241"/>
              <w:jc w:val="left"/>
              <w:rPr>
                <w:rFonts w:ascii="宋体" w:hAnsi="宋体"/>
                <w:b/>
                <w:sz w:val="24"/>
              </w:rPr>
            </w:pPr>
            <w:r>
              <w:rPr>
                <w:rFonts w:hint="eastAsia" w:ascii="宋体" w:hAnsi="宋体"/>
                <w:b/>
                <w:sz w:val="24"/>
                <w:szCs w:val="24"/>
              </w:rPr>
              <w:t>重点课程</w:t>
            </w:r>
          </w:p>
        </w:tc>
        <w:tc>
          <w:tcPr>
            <w:tcW w:w="1701" w:type="dxa"/>
            <w:shd w:val="clear" w:color="auto" w:fill="auto"/>
            <w:vAlign w:val="center"/>
          </w:tcPr>
          <w:p>
            <w:pPr>
              <w:spacing w:line="360" w:lineRule="auto"/>
              <w:ind w:right="241"/>
              <w:jc w:val="left"/>
              <w:rPr>
                <w:rFonts w:ascii="宋体" w:hAnsi="宋体"/>
                <w:sz w:val="24"/>
              </w:rPr>
            </w:pPr>
            <w:r>
              <w:rPr>
                <w:rFonts w:hint="eastAsia" w:ascii="宋体" w:hAnsi="宋体"/>
                <w:sz w:val="24"/>
                <w:szCs w:val="24"/>
              </w:rPr>
              <w:t>完成预期目标，</w:t>
            </w:r>
            <w:r>
              <w:rPr>
                <w:rFonts w:ascii="宋体" w:hAnsi="宋体"/>
                <w:sz w:val="24"/>
                <w:szCs w:val="24"/>
              </w:rPr>
              <w:t>形成健全的课程</w:t>
            </w:r>
            <w:r>
              <w:rPr>
                <w:rFonts w:hint="eastAsia" w:ascii="宋体" w:hAnsi="宋体"/>
                <w:sz w:val="24"/>
                <w:szCs w:val="24"/>
              </w:rPr>
              <w:t>教学</w:t>
            </w:r>
            <w:r>
              <w:rPr>
                <w:rFonts w:ascii="宋体" w:hAnsi="宋体"/>
                <w:sz w:val="24"/>
                <w:szCs w:val="24"/>
              </w:rPr>
              <w:t>规范。</w:t>
            </w:r>
          </w:p>
        </w:tc>
        <w:tc>
          <w:tcPr>
            <w:tcW w:w="1701" w:type="dxa"/>
            <w:shd w:val="clear" w:color="auto" w:fill="auto"/>
            <w:vAlign w:val="center"/>
          </w:tcPr>
          <w:p>
            <w:pPr>
              <w:spacing w:line="360" w:lineRule="auto"/>
              <w:ind w:right="241"/>
              <w:jc w:val="left"/>
              <w:rPr>
                <w:rFonts w:ascii="宋体" w:hAnsi="宋体"/>
                <w:sz w:val="24"/>
              </w:rPr>
            </w:pPr>
            <w:r>
              <w:rPr>
                <w:rFonts w:ascii="宋体" w:hAnsi="宋体"/>
                <w:sz w:val="22"/>
                <w:szCs w:val="24"/>
              </w:rPr>
              <w:t>能</w:t>
            </w:r>
            <w:r>
              <w:rPr>
                <w:rFonts w:hint="eastAsia" w:ascii="宋体" w:hAnsi="宋体"/>
                <w:sz w:val="22"/>
                <w:szCs w:val="24"/>
              </w:rPr>
              <w:t>参加说课和</w:t>
            </w:r>
            <w:r>
              <w:rPr>
                <w:rFonts w:ascii="宋体" w:hAnsi="宋体"/>
                <w:sz w:val="22"/>
                <w:szCs w:val="24"/>
              </w:rPr>
              <w:t>成果展示</w:t>
            </w:r>
          </w:p>
        </w:tc>
        <w:tc>
          <w:tcPr>
            <w:tcW w:w="1417" w:type="dxa"/>
            <w:shd w:val="clear" w:color="auto" w:fill="auto"/>
            <w:vAlign w:val="center"/>
          </w:tcPr>
          <w:p>
            <w:pPr>
              <w:spacing w:line="360" w:lineRule="auto"/>
              <w:ind w:right="241"/>
              <w:jc w:val="left"/>
              <w:rPr>
                <w:rFonts w:ascii="宋体" w:hAnsi="宋体"/>
                <w:sz w:val="22"/>
              </w:rPr>
            </w:pPr>
            <w:r>
              <w:rPr>
                <w:rFonts w:hint="eastAsia" w:ascii="宋体" w:hAnsi="宋体"/>
                <w:sz w:val="22"/>
                <w:szCs w:val="24"/>
              </w:rPr>
              <w:t>有一定</w:t>
            </w:r>
            <w:r>
              <w:rPr>
                <w:rFonts w:ascii="宋体" w:hAnsi="宋体"/>
                <w:sz w:val="22"/>
                <w:szCs w:val="24"/>
              </w:rPr>
              <w:t>特色亮点</w:t>
            </w:r>
          </w:p>
        </w:tc>
        <w:tc>
          <w:tcPr>
            <w:tcW w:w="1418" w:type="dxa"/>
            <w:shd w:val="clear" w:color="auto" w:fill="auto"/>
            <w:vAlign w:val="center"/>
          </w:tcPr>
          <w:p>
            <w:pPr>
              <w:spacing w:line="360" w:lineRule="auto"/>
              <w:ind w:right="241"/>
              <w:jc w:val="left"/>
              <w:rPr>
                <w:rFonts w:ascii="宋体" w:hAnsi="宋体"/>
                <w:sz w:val="24"/>
              </w:rPr>
            </w:pPr>
            <w:r>
              <w:rPr>
                <w:rFonts w:hint="eastAsia" w:ascii="宋体" w:hAnsi="宋体"/>
                <w:sz w:val="24"/>
                <w:szCs w:val="24"/>
              </w:rPr>
              <w:t>对</w:t>
            </w:r>
            <w:r>
              <w:rPr>
                <w:rFonts w:ascii="宋体" w:hAnsi="宋体"/>
                <w:sz w:val="24"/>
                <w:szCs w:val="24"/>
              </w:rPr>
              <w:t>课程思政有</w:t>
            </w:r>
            <w:r>
              <w:rPr>
                <w:rFonts w:hint="eastAsia" w:ascii="宋体" w:hAnsi="宋体"/>
                <w:sz w:val="24"/>
                <w:szCs w:val="24"/>
              </w:rPr>
              <w:t>准确</w:t>
            </w:r>
            <w:r>
              <w:rPr>
                <w:rFonts w:ascii="宋体" w:hAnsi="宋体"/>
                <w:sz w:val="24"/>
                <w:szCs w:val="24"/>
              </w:rPr>
              <w:t>理解，并能有效实施的教师</w:t>
            </w:r>
          </w:p>
        </w:tc>
        <w:tc>
          <w:tcPr>
            <w:tcW w:w="1417" w:type="dxa"/>
            <w:shd w:val="clear" w:color="auto" w:fill="auto"/>
            <w:vAlign w:val="center"/>
          </w:tcPr>
          <w:p>
            <w:pPr>
              <w:spacing w:line="360" w:lineRule="auto"/>
              <w:ind w:right="241"/>
              <w:jc w:val="left"/>
              <w:rPr>
                <w:rFonts w:ascii="宋体" w:hAnsi="宋体"/>
                <w:sz w:val="24"/>
              </w:rPr>
            </w:pPr>
            <w:r>
              <w:rPr>
                <w:rFonts w:hint="eastAsia" w:ascii="宋体" w:hAnsi="宋体"/>
                <w:sz w:val="24"/>
                <w:szCs w:val="24"/>
              </w:rPr>
              <w:t>优秀案例</w:t>
            </w:r>
          </w:p>
        </w:tc>
      </w:tr>
    </w:tbl>
    <w:p>
      <w:pPr>
        <w:spacing w:line="360" w:lineRule="auto"/>
        <w:rPr>
          <w:b/>
          <w:bCs/>
          <w:sz w:val="28"/>
          <w:szCs w:val="28"/>
        </w:rPr>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pStyle w:val="2"/>
        <w:spacing w:before="0" w:after="0" w:line="360" w:lineRule="auto"/>
        <w:ind w:firstLine="602" w:firstLineChars="200"/>
        <w:jc w:val="left"/>
        <w:rPr>
          <w:rFonts w:asciiTheme="minorEastAsia" w:hAnsiTheme="minorEastAsia"/>
          <w:sz w:val="30"/>
          <w:szCs w:val="30"/>
        </w:rPr>
      </w:pPr>
      <w:bookmarkStart w:id="18" w:name="_Toc131671182"/>
      <w:r>
        <w:rPr>
          <w:rFonts w:hint="eastAsia" w:asciiTheme="minorEastAsia" w:hAnsiTheme="minorEastAsia"/>
          <w:sz w:val="30"/>
          <w:szCs w:val="30"/>
        </w:rPr>
        <w:t>（三）方法创新——构建嵌入式课程思政评价模型</w:t>
      </w:r>
      <w:bookmarkEnd w:id="18"/>
    </w:p>
    <w:p>
      <w:pPr>
        <w:spacing w:line="360" w:lineRule="auto"/>
        <w:ind w:firstLine="413" w:firstLineChars="147"/>
        <w:rPr>
          <w:rFonts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rPr>
        <w:t>1.以核心能力素养培养为逻辑起点</w:t>
      </w:r>
    </w:p>
    <w:p>
      <w:pPr>
        <w:spacing w:line="360" w:lineRule="auto"/>
        <w:ind w:firstLine="560" w:firstLineChars="20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在席卷全球的21世纪技能运动中，不同国家和国际组织都不约而同出台了指向未来的核心能力素养框架。核心能力素养统摄我们所希望学生具备的“重要观念、关键技能和必备品格”，是对知识、技能、方法、态度、价值观的整合与提升。嵌入式课程思政评价以培养学生的核心能力为逻辑起点，将思政教育融入核心能力培养的大框架中，体现了两个方面的契合。一是与课程思政“盐溶于汤”的实施原则相契合；二是与OBE理念所强调的“培养学生在真实情境下解决复杂问题的能力”相契合。</w:t>
      </w:r>
    </w:p>
    <w:p>
      <w:pPr>
        <w:spacing w:line="360" w:lineRule="auto"/>
        <w:ind w:firstLine="562" w:firstLineChars="200"/>
        <w:rPr>
          <w:rFonts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rPr>
        <w:t>2.关注影响课程思政实施质量的3个基本变量</w:t>
      </w:r>
    </w:p>
    <w:p>
      <w:pPr>
        <w:spacing w:line="360" w:lineRule="auto"/>
        <w:ind w:firstLine="560" w:firstLineChars="20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从单一课程的层面来看，课程思政是教师准确理解本课程的育人目标，科学设计教学计划并有效实施的行动过程。在这一过程中主要有3个变量共同决定了最终的实施效果。一是教师有关课程思政的观念和理解。教师带着学术经验、对学生的判断、对课程思政要求的理解等设计教学方案，包括明确课程目标、设计教学过程、改进课程考核等。二是教师对教学内容的处理。按照课程思政的要求挖掘育人元素，引入新内容、新案例，对课程的内容体系进行整合与个性化处理。三是教师的教学行为。课程思政不仅是教学内容的改变，也是教师专业教学行为的转变。这既包括教师的常规行为：根据课程思政的要求进行备课、研讨、教学观摩等，也包括教师的个人化行为：以身作则、言传身教、为人师表等。</w:t>
      </w:r>
    </w:p>
    <w:p>
      <w:pPr>
        <w:spacing w:line="360" w:lineRule="auto"/>
        <w:ind w:firstLine="562" w:firstLineChars="200"/>
        <w:rPr>
          <w:rFonts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rPr>
        <w:t>3.聚焦课程教学的4个主要环节</w:t>
      </w:r>
    </w:p>
    <w:p>
      <w:pPr>
        <w:spacing w:line="360" w:lineRule="auto"/>
        <w:ind w:left="60" w:firstLine="560" w:firstLineChars="20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嵌入式课程思政评价作为一种过程性评价，主要关注教学设计、教学实施、综合测评和持续改进4个主要环节，使课程思政的教学评价既能了解教师在课程思政中是如何“说”的，也能了解教师是如何做的、如何评价的和如何持续改进的。（图3-1）</w:t>
      </w:r>
    </w:p>
    <w:p>
      <w:pPr>
        <w:spacing w:line="360" w:lineRule="auto"/>
        <w:ind w:left="60" w:firstLine="562" w:firstLineChars="20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b/>
          <w:sz w:val="28"/>
          <w:szCs w:val="28"/>
        </w:rPr>
        <w:t>（1）教学设计环节：</w:t>
      </w:r>
      <w:r>
        <w:rPr>
          <w:rFonts w:hint="eastAsia" w:asciiTheme="majorEastAsia" w:hAnsiTheme="majorEastAsia" w:eastAsiaTheme="majorEastAsia" w:cstheme="majorEastAsia"/>
          <w:sz w:val="28"/>
          <w:szCs w:val="28"/>
        </w:rPr>
        <w:t>课程所在的专业首先完善培养目标和毕业要求，结合自身学科特点将核心能力素养具体化。各门课程对各自的学科本质和独特育人价值有了更加明确的认识和定位，能够共同对专业育人目标形成支撑。</w:t>
      </w:r>
    </w:p>
    <w:p>
      <w:pPr>
        <w:spacing w:line="360" w:lineRule="auto"/>
        <w:ind w:firstLine="562" w:firstLineChars="20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b/>
          <w:sz w:val="28"/>
          <w:szCs w:val="28"/>
        </w:rPr>
        <w:t>（2）教学实施环节：</w:t>
      </w:r>
      <w:r>
        <w:rPr>
          <w:rFonts w:hint="eastAsia" w:asciiTheme="majorEastAsia" w:hAnsiTheme="majorEastAsia" w:eastAsiaTheme="majorEastAsia" w:cstheme="majorEastAsia"/>
          <w:sz w:val="28"/>
          <w:szCs w:val="28"/>
        </w:rPr>
        <w:t xml:space="preserve">教师依据“盐溶于汤”的原则，在主要教学文档中能够进一步落实课程思政的要求。以此为抓手构建“学习中心课堂”，引发学生自主学习、深度思考和交流表达，强化高阶能力的培养。同时，按照课程思政赋能金课建设的理念，在课程教材资源建设中融入课程思政。 </w:t>
      </w:r>
    </w:p>
    <w:p>
      <w:pPr>
        <w:spacing w:line="360" w:lineRule="auto"/>
        <w:ind w:firstLine="562" w:firstLineChars="20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b/>
          <w:sz w:val="28"/>
          <w:szCs w:val="28"/>
        </w:rPr>
        <w:t>（3）综合测评环节：</w:t>
      </w:r>
      <w:r>
        <w:rPr>
          <w:rFonts w:hint="eastAsia" w:asciiTheme="majorEastAsia" w:hAnsiTheme="majorEastAsia" w:eastAsiaTheme="majorEastAsia" w:cstheme="majorEastAsia"/>
          <w:sz w:val="28"/>
          <w:szCs w:val="28"/>
        </w:rPr>
        <w:t>综合多种课程评价手段，确保评价结果之间的相互印证，了解各门课程实施课程思政的实际效果。</w:t>
      </w:r>
    </w:p>
    <w:p>
      <w:pPr>
        <w:spacing w:line="360" w:lineRule="auto"/>
        <w:ind w:firstLine="562" w:firstLineChars="200"/>
        <w:rPr>
          <w:sz w:val="24"/>
          <w:szCs w:val="32"/>
        </w:rPr>
      </w:pPr>
      <w:r>
        <w:rPr>
          <w:rFonts w:hint="eastAsia" w:asciiTheme="majorEastAsia" w:hAnsiTheme="majorEastAsia" w:eastAsiaTheme="majorEastAsia" w:cstheme="majorEastAsia"/>
          <w:b/>
          <w:sz w:val="28"/>
          <w:szCs w:val="28"/>
        </w:rPr>
        <w:t>（4）持续改进环节：</w:t>
      </w:r>
      <w:r>
        <w:rPr>
          <w:rFonts w:hint="eastAsia" w:asciiTheme="majorEastAsia" w:hAnsiTheme="majorEastAsia" w:eastAsiaTheme="majorEastAsia" w:cstheme="majorEastAsia"/>
          <w:sz w:val="28"/>
          <w:szCs w:val="28"/>
        </w:rPr>
        <w:t>注重评价结果的运用和反馈，实现质量保障体系的多重闭环和持续改进。</w:t>
      </w:r>
    </w:p>
    <w:p>
      <w:pPr>
        <w:spacing w:line="360" w:lineRule="auto"/>
        <w:rPr>
          <w:sz w:val="24"/>
          <w:szCs w:val="32"/>
        </w:rPr>
      </w:pPr>
      <w:r>
        <w:rPr>
          <w:sz w:val="24"/>
        </w:rPr>
        <w:drawing>
          <wp:inline distT="0" distB="0" distL="114300" distR="114300">
            <wp:extent cx="5340350" cy="278130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
                    <a:stretch>
                      <a:fillRect/>
                    </a:stretch>
                  </pic:blipFill>
                  <pic:spPr>
                    <a:xfrm>
                      <a:off x="0" y="0"/>
                      <a:ext cx="5340350" cy="2781300"/>
                    </a:xfrm>
                    <a:prstGeom prst="rect">
                      <a:avLst/>
                    </a:prstGeom>
                    <a:noFill/>
                    <a:ln>
                      <a:noFill/>
                    </a:ln>
                  </pic:spPr>
                </pic:pic>
              </a:graphicData>
            </a:graphic>
          </wp:inline>
        </w:drawing>
      </w:r>
    </w:p>
    <w:p>
      <w:pPr>
        <w:spacing w:line="360" w:lineRule="auto"/>
        <w:ind w:firstLine="480"/>
        <w:jc w:val="center"/>
        <w:rPr>
          <w:sz w:val="24"/>
          <w:szCs w:val="32"/>
        </w:rPr>
      </w:pPr>
      <w:r>
        <w:rPr>
          <w:rFonts w:hint="eastAsia"/>
          <w:sz w:val="24"/>
          <w:szCs w:val="32"/>
        </w:rPr>
        <w:t>图3-1  课程思政建设与评价的主要环节</w:t>
      </w:r>
    </w:p>
    <w:p>
      <w:pPr>
        <w:spacing w:line="360" w:lineRule="auto"/>
        <w:ind w:firstLine="422" w:firstLineChars="150"/>
        <w:rPr>
          <w:rFonts w:ascii="宋体" w:hAnsi="宋体" w:cs="宋体"/>
          <w:b/>
          <w:bCs/>
          <w:sz w:val="28"/>
          <w:szCs w:val="28"/>
        </w:rPr>
      </w:pPr>
      <w:r>
        <w:rPr>
          <w:rFonts w:hint="eastAsia" w:ascii="宋体" w:hAnsi="宋体" w:cs="宋体"/>
          <w:b/>
          <w:bCs/>
          <w:sz w:val="28"/>
          <w:szCs w:val="28"/>
        </w:rPr>
        <w:t>4.嵌入式课程思政评价</w:t>
      </w:r>
      <w:r>
        <w:rPr>
          <w:rFonts w:hint="eastAsia" w:ascii="宋体" w:hAnsi="宋体" w:eastAsia="宋体" w:cs="宋体"/>
          <w:b/>
          <w:bCs/>
          <w:sz w:val="28"/>
          <w:szCs w:val="28"/>
        </w:rPr>
        <w:t>的实施机制</w:t>
      </w:r>
    </w:p>
    <w:p>
      <w:pPr>
        <w:spacing w:line="360" w:lineRule="auto"/>
        <w:ind w:firstLine="560" w:firstLineChars="200"/>
        <w:jc w:val="left"/>
        <w:rPr>
          <w:rFonts w:ascii="宋体" w:hAnsi="宋体" w:cs="宋体"/>
          <w:sz w:val="28"/>
          <w:szCs w:val="28"/>
        </w:rPr>
      </w:pPr>
      <w:r>
        <w:rPr>
          <w:rFonts w:hint="eastAsia" w:ascii="宋体" w:hAnsi="宋体" w:eastAsia="宋体" w:cs="宋体"/>
          <w:kern w:val="0"/>
          <w:sz w:val="28"/>
          <w:szCs w:val="28"/>
        </w:rPr>
        <w:t>本项目所构建的课程思政教学评价体系包含校、院两个层面。其中，学校层面以教务部门为主体，依靠督导、学生信息员、第三方机构等，重在标准研制、规范评价和第三方反馈。学院层面依靠同行专家、学生、用人单位和其他利益相关方，重在课程内涵和教学活动本身的评价，在评价方法上强调“观察-描述-判断-改进”。</w:t>
      </w:r>
      <w:r>
        <w:rPr>
          <w:rFonts w:hint="eastAsia" w:ascii="宋体" w:hAnsi="宋体" w:eastAsia="宋体" w:cs="宋体"/>
          <w:sz w:val="28"/>
          <w:szCs w:val="28"/>
        </w:rPr>
        <w:t>其基本的实施机制包括：</w:t>
      </w:r>
    </w:p>
    <w:p>
      <w:pPr>
        <w:spacing w:line="360" w:lineRule="auto"/>
        <w:ind w:firstLine="560" w:firstLineChars="200"/>
        <w:jc w:val="left"/>
        <w:rPr>
          <w:rFonts w:ascii="宋体" w:hAnsi="宋体" w:cs="宋体"/>
          <w:sz w:val="28"/>
          <w:szCs w:val="28"/>
        </w:rPr>
      </w:pPr>
      <w:r>
        <w:rPr>
          <w:rFonts w:hint="eastAsia" w:ascii="宋体" w:hAnsi="宋体" w:eastAsia="宋体" w:cs="宋体"/>
          <w:sz w:val="28"/>
          <w:szCs w:val="28"/>
        </w:rPr>
        <w:t>1</w:t>
      </w:r>
      <w:r>
        <w:rPr>
          <w:rFonts w:hint="eastAsia" w:ascii="宋体" w:hAnsi="宋体" w:cs="宋体"/>
          <w:sz w:val="28"/>
          <w:szCs w:val="28"/>
        </w:rPr>
        <w:t>.</w:t>
      </w:r>
      <w:r>
        <w:rPr>
          <w:rFonts w:hint="eastAsia" w:ascii="宋体" w:hAnsi="宋体" w:eastAsia="宋体" w:cs="宋体"/>
          <w:sz w:val="28"/>
          <w:szCs w:val="28"/>
        </w:rPr>
        <w:t>评价主体与教师通过广泛交谈共同聚焦需要评价的问题。</w:t>
      </w:r>
    </w:p>
    <w:p>
      <w:pPr>
        <w:spacing w:line="360" w:lineRule="auto"/>
        <w:ind w:firstLine="560" w:firstLineChars="200"/>
        <w:jc w:val="left"/>
        <w:rPr>
          <w:rFonts w:ascii="宋体" w:hAnsi="宋体" w:cs="宋体"/>
          <w:sz w:val="28"/>
          <w:szCs w:val="28"/>
        </w:rPr>
      </w:pPr>
      <w:r>
        <w:rPr>
          <w:rFonts w:hint="eastAsia" w:ascii="宋体" w:hAnsi="宋体" w:eastAsia="宋体" w:cs="宋体"/>
          <w:sz w:val="28"/>
          <w:szCs w:val="28"/>
        </w:rPr>
        <w:t>2</w:t>
      </w:r>
      <w:r>
        <w:rPr>
          <w:rFonts w:hint="eastAsia" w:ascii="宋体" w:hAnsi="宋体" w:cs="宋体"/>
          <w:sz w:val="28"/>
          <w:szCs w:val="28"/>
        </w:rPr>
        <w:t>.</w:t>
      </w:r>
      <w:r>
        <w:rPr>
          <w:rFonts w:hint="eastAsia" w:ascii="宋体" w:hAnsi="宋体" w:eastAsia="宋体" w:cs="宋体"/>
          <w:sz w:val="28"/>
          <w:szCs w:val="28"/>
        </w:rPr>
        <w:t>评价者基于课程思政评价框架确定与聚焦问题相匹配的评价对象（如教学大纲、课堂教学、考核环节）。</w:t>
      </w:r>
    </w:p>
    <w:p>
      <w:pPr>
        <w:spacing w:line="360" w:lineRule="auto"/>
        <w:ind w:firstLine="560" w:firstLineChars="200"/>
        <w:jc w:val="left"/>
        <w:rPr>
          <w:rFonts w:ascii="宋体" w:hAnsi="宋体" w:cs="宋体"/>
          <w:sz w:val="28"/>
          <w:szCs w:val="28"/>
        </w:rPr>
      </w:pPr>
      <w:r>
        <w:rPr>
          <w:rFonts w:hint="eastAsia" w:ascii="宋体" w:hAnsi="宋体" w:eastAsia="宋体" w:cs="宋体"/>
          <w:sz w:val="28"/>
          <w:szCs w:val="28"/>
        </w:rPr>
        <w:t>3</w:t>
      </w:r>
      <w:r>
        <w:rPr>
          <w:rFonts w:hint="eastAsia" w:ascii="宋体" w:hAnsi="宋体" w:cs="宋体"/>
          <w:sz w:val="28"/>
          <w:szCs w:val="28"/>
        </w:rPr>
        <w:t>.</w:t>
      </w:r>
      <w:r>
        <w:rPr>
          <w:rFonts w:hint="eastAsia" w:ascii="宋体" w:hAnsi="宋体" w:eastAsia="宋体" w:cs="宋体"/>
          <w:sz w:val="28"/>
          <w:szCs w:val="28"/>
        </w:rPr>
        <w:t>按照“课程文本的一致性—课程实施的协同性—学生体验的有效性”三个维度共同设计评价方案，确定评价信息的收集方式。</w:t>
      </w:r>
    </w:p>
    <w:p>
      <w:pPr>
        <w:spacing w:line="360" w:lineRule="auto"/>
        <w:ind w:firstLine="560" w:firstLineChars="200"/>
        <w:rPr>
          <w:rFonts w:ascii="宋体" w:hAnsi="宋体" w:cs="宋体"/>
          <w:sz w:val="28"/>
          <w:szCs w:val="28"/>
        </w:rPr>
      </w:pPr>
      <w:r>
        <w:rPr>
          <w:rFonts w:hint="eastAsia" w:ascii="宋体" w:hAnsi="宋体" w:eastAsia="宋体" w:cs="宋体"/>
          <w:sz w:val="28"/>
          <w:szCs w:val="28"/>
        </w:rPr>
        <w:t>4</w:t>
      </w:r>
      <w:r>
        <w:rPr>
          <w:rFonts w:hint="eastAsia" w:ascii="宋体" w:hAnsi="宋体" w:cs="宋体"/>
          <w:sz w:val="28"/>
          <w:szCs w:val="28"/>
        </w:rPr>
        <w:t>.</w:t>
      </w:r>
      <w:r>
        <w:rPr>
          <w:rFonts w:hint="eastAsia" w:ascii="宋体" w:hAnsi="宋体" w:eastAsia="宋体" w:cs="宋体"/>
          <w:sz w:val="28"/>
          <w:szCs w:val="28"/>
        </w:rPr>
        <w:t>依据评价标准，对收集的信息进行分析，形成评价报告以回应最初聚焦的问题。</w:t>
      </w:r>
    </w:p>
    <w:p>
      <w:pPr>
        <w:pStyle w:val="2"/>
        <w:spacing w:before="0" w:after="0" w:line="360" w:lineRule="auto"/>
        <w:ind w:firstLine="602" w:firstLineChars="200"/>
        <w:jc w:val="left"/>
        <w:rPr>
          <w:rFonts w:asciiTheme="minorEastAsia" w:hAnsiTheme="minorEastAsia"/>
          <w:sz w:val="30"/>
          <w:szCs w:val="30"/>
        </w:rPr>
      </w:pPr>
      <w:bookmarkStart w:id="19" w:name="_Toc131671183"/>
      <w:r>
        <w:rPr>
          <w:rFonts w:hint="eastAsia" w:asciiTheme="minorEastAsia" w:hAnsiTheme="minorEastAsia"/>
          <w:sz w:val="30"/>
          <w:szCs w:val="30"/>
        </w:rPr>
        <w:t>（四）制度保障——完善质量标准和管理文件（节选）</w:t>
      </w:r>
      <w:bookmarkEnd w:id="19"/>
    </w:p>
    <w:p>
      <w:pPr>
        <w:spacing w:line="360" w:lineRule="auto"/>
        <w:ind w:firstLine="562" w:firstLineChars="200"/>
        <w:rPr>
          <w:rFonts w:asciiTheme="minorEastAsia" w:hAnsiTheme="minorEastAsia"/>
          <w:b/>
          <w:sz w:val="28"/>
          <w:szCs w:val="28"/>
        </w:rPr>
      </w:pPr>
      <w:r>
        <w:rPr>
          <w:rFonts w:hint="eastAsia" w:asciiTheme="minorEastAsia" w:hAnsiTheme="minorEastAsia"/>
          <w:b/>
          <w:sz w:val="28"/>
          <w:szCs w:val="28"/>
        </w:rPr>
        <w:t>1.</w:t>
      </w:r>
      <w:r>
        <w:rPr>
          <w:rFonts w:asciiTheme="minorEastAsia" w:hAnsiTheme="minorEastAsia"/>
          <w:b/>
          <w:sz w:val="28"/>
          <w:szCs w:val="28"/>
        </w:rPr>
        <w:t>本科课程课堂教学质量标准</w:t>
      </w:r>
    </w:p>
    <w:p>
      <w:pPr>
        <w:spacing w:line="103" w:lineRule="exact"/>
      </w:pPr>
    </w:p>
    <w:tbl>
      <w:tblPr>
        <w:tblStyle w:val="34"/>
        <w:tblW w:w="10240" w:type="dxa"/>
        <w:tblInd w:w="-5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1139"/>
        <w:gridCol w:w="84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614" w:type="dxa"/>
          </w:tcPr>
          <w:p>
            <w:pPr>
              <w:spacing w:before="82" w:line="221" w:lineRule="auto"/>
              <w:ind w:left="78"/>
              <w:rPr>
                <w:rFonts w:ascii="宋体" w:hAnsi="宋体" w:eastAsia="宋体" w:cs="宋体"/>
                <w:snapToGrid w:val="0"/>
                <w:color w:val="000000"/>
                <w:kern w:val="0"/>
                <w:sz w:val="22"/>
              </w:rPr>
            </w:pPr>
            <w:r>
              <w:rPr>
                <w:rFonts w:ascii="宋体" w:hAnsi="宋体" w:eastAsia="宋体" w:cs="宋体"/>
                <w:b/>
                <w:bCs/>
                <w:snapToGrid w:val="0"/>
                <w:color w:val="000000"/>
                <w:spacing w:val="-5"/>
                <w:kern w:val="0"/>
                <w:sz w:val="22"/>
              </w:rPr>
              <w:t>序号</w:t>
            </w:r>
          </w:p>
        </w:tc>
        <w:tc>
          <w:tcPr>
            <w:tcW w:w="1139" w:type="dxa"/>
          </w:tcPr>
          <w:p>
            <w:pPr>
              <w:spacing w:before="81" w:line="220" w:lineRule="auto"/>
              <w:ind w:left="404"/>
              <w:rPr>
                <w:rFonts w:ascii="宋体" w:hAnsi="宋体" w:eastAsia="宋体" w:cs="宋体"/>
                <w:snapToGrid w:val="0"/>
                <w:color w:val="000000"/>
                <w:kern w:val="0"/>
                <w:sz w:val="22"/>
              </w:rPr>
            </w:pPr>
            <w:r>
              <w:rPr>
                <w:rFonts w:ascii="宋体" w:hAnsi="宋体" w:eastAsia="宋体" w:cs="宋体"/>
                <w:b/>
                <w:bCs/>
                <w:snapToGrid w:val="0"/>
                <w:color w:val="000000"/>
                <w:spacing w:val="-5"/>
                <w:kern w:val="0"/>
                <w:sz w:val="22"/>
              </w:rPr>
              <w:t>指标项</w:t>
            </w:r>
          </w:p>
        </w:tc>
        <w:tc>
          <w:tcPr>
            <w:tcW w:w="8487" w:type="dxa"/>
          </w:tcPr>
          <w:p>
            <w:pPr>
              <w:spacing w:before="81" w:line="220" w:lineRule="auto"/>
              <w:ind w:left="3775"/>
              <w:rPr>
                <w:rFonts w:ascii="宋体" w:hAnsi="宋体" w:eastAsia="宋体" w:cs="宋体"/>
                <w:snapToGrid w:val="0"/>
                <w:color w:val="000000"/>
                <w:kern w:val="0"/>
                <w:sz w:val="22"/>
              </w:rPr>
            </w:pPr>
            <w:r>
              <w:rPr>
                <w:rFonts w:ascii="宋体" w:hAnsi="宋体" w:eastAsia="宋体" w:cs="宋体"/>
                <w:b/>
                <w:bCs/>
                <w:snapToGrid w:val="0"/>
                <w:color w:val="000000"/>
                <w:spacing w:val="18"/>
                <w:kern w:val="0"/>
                <w:sz w:val="22"/>
              </w:rPr>
              <w:t>质量标准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614" w:type="dxa"/>
            <w:vMerge w:val="restart"/>
            <w:tcBorders>
              <w:bottom w:val="nil"/>
            </w:tcBorders>
          </w:tcPr>
          <w:p>
            <w:pPr>
              <w:spacing w:line="253" w:lineRule="auto"/>
              <w:rPr>
                <w:rFonts w:ascii="Arial" w:hAnsi="Arial" w:cs="Arial"/>
                <w:snapToGrid w:val="0"/>
                <w:color w:val="000000"/>
                <w:kern w:val="0"/>
                <w:szCs w:val="21"/>
              </w:rPr>
            </w:pPr>
          </w:p>
          <w:p>
            <w:pPr>
              <w:spacing w:line="253" w:lineRule="auto"/>
              <w:rPr>
                <w:rFonts w:ascii="Arial" w:hAnsi="Arial" w:cs="Arial"/>
                <w:snapToGrid w:val="0"/>
                <w:color w:val="000000"/>
                <w:kern w:val="0"/>
                <w:szCs w:val="21"/>
              </w:rPr>
            </w:pPr>
          </w:p>
          <w:p>
            <w:pPr>
              <w:spacing w:line="253" w:lineRule="auto"/>
              <w:rPr>
                <w:rFonts w:ascii="Arial" w:hAnsi="Arial" w:cs="Arial"/>
                <w:snapToGrid w:val="0"/>
                <w:color w:val="000000"/>
                <w:kern w:val="0"/>
                <w:szCs w:val="21"/>
              </w:rPr>
            </w:pPr>
          </w:p>
          <w:p>
            <w:pPr>
              <w:spacing w:line="253" w:lineRule="auto"/>
              <w:rPr>
                <w:rFonts w:ascii="Arial" w:hAnsi="Arial" w:cs="Arial"/>
                <w:snapToGrid w:val="0"/>
                <w:color w:val="000000"/>
                <w:kern w:val="0"/>
                <w:szCs w:val="21"/>
              </w:rPr>
            </w:pPr>
          </w:p>
          <w:p>
            <w:pPr>
              <w:spacing w:line="253" w:lineRule="auto"/>
              <w:rPr>
                <w:rFonts w:ascii="Arial" w:hAnsi="Arial" w:cs="Arial"/>
                <w:snapToGrid w:val="0"/>
                <w:color w:val="000000"/>
                <w:kern w:val="0"/>
                <w:szCs w:val="21"/>
              </w:rPr>
            </w:pPr>
          </w:p>
          <w:p>
            <w:pPr>
              <w:spacing w:before="71" w:line="184" w:lineRule="auto"/>
              <w:ind w:left="244"/>
              <w:rPr>
                <w:rFonts w:ascii="宋体" w:hAnsi="宋体" w:eastAsia="宋体" w:cs="宋体"/>
                <w:snapToGrid w:val="0"/>
                <w:color w:val="000000"/>
                <w:kern w:val="0"/>
                <w:sz w:val="22"/>
              </w:rPr>
            </w:pPr>
            <w:r>
              <w:rPr>
                <w:rFonts w:ascii="宋体" w:hAnsi="宋体" w:eastAsia="宋体" w:cs="宋体"/>
                <w:snapToGrid w:val="0"/>
                <w:color w:val="000000"/>
                <w:kern w:val="0"/>
                <w:sz w:val="22"/>
              </w:rPr>
              <w:t>1</w:t>
            </w:r>
          </w:p>
        </w:tc>
        <w:tc>
          <w:tcPr>
            <w:tcW w:w="1139" w:type="dxa"/>
            <w:vMerge w:val="restart"/>
            <w:tcBorders>
              <w:bottom w:val="nil"/>
            </w:tcBorders>
          </w:tcPr>
          <w:p>
            <w:pPr>
              <w:spacing w:line="241" w:lineRule="auto"/>
              <w:rPr>
                <w:rFonts w:ascii="Arial" w:hAnsi="Arial" w:cs="Arial"/>
                <w:snapToGrid w:val="0"/>
                <w:color w:val="000000"/>
                <w:kern w:val="0"/>
                <w:szCs w:val="21"/>
              </w:rPr>
            </w:pPr>
          </w:p>
          <w:p>
            <w:pPr>
              <w:spacing w:line="241" w:lineRule="auto"/>
              <w:rPr>
                <w:rFonts w:ascii="Arial" w:hAnsi="Arial" w:cs="Arial"/>
                <w:snapToGrid w:val="0"/>
                <w:color w:val="000000"/>
                <w:kern w:val="0"/>
                <w:szCs w:val="21"/>
              </w:rPr>
            </w:pPr>
          </w:p>
          <w:p>
            <w:pPr>
              <w:spacing w:line="241" w:lineRule="auto"/>
              <w:rPr>
                <w:rFonts w:ascii="Arial" w:hAnsi="Arial" w:cs="Arial"/>
                <w:snapToGrid w:val="0"/>
                <w:color w:val="000000"/>
                <w:kern w:val="0"/>
                <w:szCs w:val="21"/>
              </w:rPr>
            </w:pPr>
          </w:p>
          <w:p>
            <w:pPr>
              <w:spacing w:line="242" w:lineRule="auto"/>
              <w:rPr>
                <w:rFonts w:ascii="Arial" w:hAnsi="Arial" w:cs="Arial"/>
                <w:snapToGrid w:val="0"/>
                <w:color w:val="000000"/>
                <w:kern w:val="0"/>
                <w:szCs w:val="21"/>
              </w:rPr>
            </w:pPr>
          </w:p>
          <w:p>
            <w:pPr>
              <w:spacing w:line="242" w:lineRule="auto"/>
              <w:rPr>
                <w:rFonts w:ascii="Arial" w:hAnsi="Arial" w:cs="Arial"/>
                <w:snapToGrid w:val="0"/>
                <w:color w:val="000000"/>
                <w:kern w:val="0"/>
                <w:szCs w:val="21"/>
              </w:rPr>
            </w:pPr>
          </w:p>
          <w:p>
            <w:pPr>
              <w:spacing w:before="71" w:line="219" w:lineRule="auto"/>
              <w:ind w:left="184"/>
              <w:rPr>
                <w:rFonts w:ascii="宋体" w:hAnsi="宋体" w:eastAsia="宋体" w:cs="宋体"/>
                <w:snapToGrid w:val="0"/>
                <w:color w:val="000000"/>
                <w:kern w:val="0"/>
                <w:sz w:val="22"/>
              </w:rPr>
            </w:pPr>
            <w:r>
              <w:rPr>
                <w:rFonts w:ascii="宋体" w:hAnsi="宋体" w:eastAsia="宋体" w:cs="宋体"/>
                <w:b/>
                <w:bCs/>
                <w:snapToGrid w:val="0"/>
                <w:color w:val="000000"/>
                <w:spacing w:val="-5"/>
                <w:kern w:val="0"/>
                <w:sz w:val="22"/>
              </w:rPr>
              <w:t>教学规范</w:t>
            </w:r>
          </w:p>
        </w:tc>
        <w:tc>
          <w:tcPr>
            <w:tcW w:w="8487" w:type="dxa"/>
          </w:tcPr>
          <w:p>
            <w:pPr>
              <w:spacing w:before="97" w:line="223" w:lineRule="auto"/>
              <w:ind w:left="61" w:right="68" w:firstLine="9"/>
              <w:rPr>
                <w:rFonts w:ascii="宋体" w:hAnsi="宋体" w:eastAsia="宋体" w:cs="宋体"/>
                <w:snapToGrid w:val="0"/>
                <w:color w:val="000000"/>
                <w:kern w:val="0"/>
                <w:sz w:val="22"/>
              </w:rPr>
            </w:pPr>
            <w:r>
              <w:rPr>
                <w:rFonts w:ascii="宋体" w:hAnsi="宋体" w:eastAsia="宋体" w:cs="宋体"/>
                <w:snapToGrid w:val="0"/>
                <w:color w:val="000000"/>
                <w:spacing w:val="2"/>
                <w:kern w:val="0"/>
                <w:sz w:val="22"/>
              </w:rPr>
              <w:t>1.1课堂教学中言行得当，注重言传身教，以积极、正面的教学态度引领学生价值观的</w:t>
            </w:r>
            <w:r>
              <w:rPr>
                <w:rFonts w:ascii="宋体" w:hAnsi="宋体" w:eastAsia="宋体" w:cs="宋体"/>
                <w:snapToGrid w:val="0"/>
                <w:color w:val="000000"/>
                <w:spacing w:val="7"/>
                <w:kern w:val="0"/>
                <w:sz w:val="22"/>
              </w:rPr>
              <w:t xml:space="preserve"> </w:t>
            </w:r>
            <w:r>
              <w:rPr>
                <w:rFonts w:ascii="宋体" w:hAnsi="宋体" w:eastAsia="宋体" w:cs="宋体"/>
                <w:snapToGrid w:val="0"/>
                <w:color w:val="000000"/>
                <w:spacing w:val="-7"/>
                <w:kern w:val="0"/>
                <w:sz w:val="22"/>
              </w:rPr>
              <w:t>塑</w:t>
            </w:r>
            <w:r>
              <w:rPr>
                <w:rFonts w:ascii="宋体" w:hAnsi="宋体" w:eastAsia="宋体" w:cs="宋体"/>
                <w:snapToGrid w:val="0"/>
                <w:color w:val="000000"/>
                <w:spacing w:val="-25"/>
                <w:kern w:val="0"/>
                <w:sz w:val="22"/>
              </w:rPr>
              <w:t xml:space="preserve"> </w:t>
            </w:r>
            <w:r>
              <w:rPr>
                <w:rFonts w:ascii="宋体" w:hAnsi="宋体" w:eastAsia="宋体" w:cs="宋体"/>
                <w:snapToGrid w:val="0"/>
                <w:color w:val="000000"/>
                <w:spacing w:val="-7"/>
                <w:kern w:val="0"/>
                <w:sz w:val="22"/>
              </w:rPr>
              <w:t>造</w:t>
            </w:r>
            <w:r>
              <w:rPr>
                <w:rFonts w:ascii="宋体" w:hAnsi="宋体" w:eastAsia="宋体" w:cs="宋体"/>
                <w:snapToGrid w:val="0"/>
                <w:color w:val="000000"/>
                <w:spacing w:val="-33"/>
                <w:kern w:val="0"/>
                <w:sz w:val="22"/>
              </w:rPr>
              <w:t xml:space="preserve"> </w:t>
            </w:r>
            <w:r>
              <w:rPr>
                <w:rFonts w:ascii="宋体" w:hAnsi="宋体" w:eastAsia="宋体" w:cs="宋体"/>
                <w:snapToGrid w:val="0"/>
                <w:color w:val="000000"/>
                <w:spacing w:val="-7"/>
                <w:kern w:val="0"/>
                <w:sz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 w:hRule="atLeast"/>
        </w:trPr>
        <w:tc>
          <w:tcPr>
            <w:tcW w:w="614" w:type="dxa"/>
            <w:vMerge w:val="continue"/>
            <w:tcBorders>
              <w:top w:val="nil"/>
              <w:bottom w:val="nil"/>
            </w:tcBorders>
          </w:tcPr>
          <w:p>
            <w:pPr>
              <w:rPr>
                <w:rFonts w:ascii="Arial" w:hAnsi="Arial" w:cs="Arial"/>
                <w:snapToGrid w:val="0"/>
                <w:color w:val="000000"/>
                <w:kern w:val="0"/>
                <w:szCs w:val="21"/>
              </w:rPr>
            </w:pPr>
          </w:p>
        </w:tc>
        <w:tc>
          <w:tcPr>
            <w:tcW w:w="1139" w:type="dxa"/>
            <w:vMerge w:val="continue"/>
            <w:tcBorders>
              <w:top w:val="nil"/>
              <w:bottom w:val="nil"/>
            </w:tcBorders>
          </w:tcPr>
          <w:p>
            <w:pPr>
              <w:rPr>
                <w:rFonts w:ascii="Arial" w:hAnsi="Arial" w:cs="Arial"/>
                <w:snapToGrid w:val="0"/>
                <w:color w:val="000000"/>
                <w:kern w:val="0"/>
                <w:szCs w:val="21"/>
              </w:rPr>
            </w:pPr>
          </w:p>
        </w:tc>
        <w:tc>
          <w:tcPr>
            <w:tcW w:w="8487" w:type="dxa"/>
          </w:tcPr>
          <w:p>
            <w:pPr>
              <w:spacing w:before="78" w:line="216" w:lineRule="auto"/>
              <w:ind w:left="61" w:right="38"/>
              <w:rPr>
                <w:rFonts w:ascii="宋体" w:hAnsi="宋体" w:eastAsia="宋体" w:cs="宋体"/>
                <w:snapToGrid w:val="0"/>
                <w:color w:val="000000"/>
                <w:kern w:val="0"/>
                <w:sz w:val="22"/>
              </w:rPr>
            </w:pPr>
            <w:r>
              <w:rPr>
                <w:rFonts w:ascii="宋体" w:hAnsi="宋体" w:eastAsia="宋体" w:cs="宋体"/>
                <w:snapToGrid w:val="0"/>
                <w:color w:val="000000"/>
                <w:spacing w:val="3"/>
                <w:kern w:val="0"/>
                <w:sz w:val="22"/>
              </w:rPr>
              <w:t>1.2严格按照教学大纲进行教学。熟悉教学内容，课堂教学准备充分。携带相关教学资</w:t>
            </w:r>
            <w:r>
              <w:rPr>
                <w:rFonts w:ascii="宋体" w:hAnsi="宋体" w:eastAsia="宋体" w:cs="宋体"/>
                <w:snapToGrid w:val="0"/>
                <w:color w:val="000000"/>
                <w:spacing w:val="8"/>
                <w:kern w:val="0"/>
                <w:sz w:val="22"/>
              </w:rPr>
              <w:t xml:space="preserve"> </w:t>
            </w:r>
            <w:r>
              <w:rPr>
                <w:rFonts w:ascii="宋体" w:hAnsi="宋体" w:eastAsia="宋体" w:cs="宋体"/>
                <w:snapToGrid w:val="0"/>
                <w:color w:val="000000"/>
                <w:spacing w:val="14"/>
                <w:kern w:val="0"/>
                <w:sz w:val="22"/>
              </w:rPr>
              <w:t>料(</w:t>
            </w:r>
            <w:r>
              <w:rPr>
                <w:rFonts w:ascii="宋体" w:hAnsi="宋体" w:eastAsia="宋体" w:cs="宋体"/>
                <w:snapToGrid w:val="0"/>
                <w:color w:val="000000"/>
                <w:kern w:val="0"/>
                <w:sz w:val="22"/>
              </w:rPr>
              <w:t>PPT</w:t>
            </w:r>
            <w:r>
              <w:rPr>
                <w:rFonts w:ascii="宋体" w:hAnsi="宋体" w:eastAsia="宋体" w:cs="宋体"/>
                <w:snapToGrid w:val="0"/>
                <w:color w:val="000000"/>
                <w:spacing w:val="14"/>
                <w:kern w:val="0"/>
                <w:sz w:val="22"/>
              </w:rPr>
              <w:t xml:space="preserve">、教材、教案等),提前做好课前准备(多媒体开启、设备调试、实验仪器检 </w:t>
            </w:r>
            <w:r>
              <w:rPr>
                <w:rFonts w:ascii="宋体" w:hAnsi="宋体" w:eastAsia="宋体" w:cs="宋体"/>
                <w:snapToGrid w:val="0"/>
                <w:color w:val="000000"/>
                <w:spacing w:val="-8"/>
                <w:kern w:val="0"/>
                <w:sz w:val="22"/>
              </w:rPr>
              <w:t>查</w:t>
            </w:r>
            <w:r>
              <w:rPr>
                <w:rFonts w:ascii="宋体" w:hAnsi="宋体" w:eastAsia="宋体" w:cs="宋体"/>
                <w:snapToGrid w:val="0"/>
                <w:color w:val="000000"/>
                <w:spacing w:val="-49"/>
                <w:kern w:val="0"/>
                <w:sz w:val="22"/>
              </w:rPr>
              <w:t xml:space="preserve"> </w:t>
            </w:r>
            <w:r>
              <w:rPr>
                <w:rFonts w:ascii="宋体" w:hAnsi="宋体" w:eastAsia="宋体" w:cs="宋体"/>
                <w:snapToGrid w:val="0"/>
                <w:color w:val="000000"/>
                <w:spacing w:val="-8"/>
                <w:kern w:val="0"/>
                <w:sz w:val="22"/>
              </w:rPr>
              <w:t>等</w:t>
            </w:r>
            <w:r>
              <w:rPr>
                <w:rFonts w:ascii="宋体" w:hAnsi="宋体" w:eastAsia="宋体" w:cs="宋体"/>
                <w:snapToGrid w:val="0"/>
                <w:color w:val="000000"/>
                <w:spacing w:val="-50"/>
                <w:kern w:val="0"/>
                <w:sz w:val="22"/>
              </w:rPr>
              <w:t xml:space="preserve"> </w:t>
            </w:r>
            <w:r>
              <w:rPr>
                <w:rFonts w:ascii="宋体" w:hAnsi="宋体" w:eastAsia="宋体" w:cs="宋体"/>
                <w:snapToGrid w:val="0"/>
                <w:color w:val="000000"/>
                <w:spacing w:val="-8"/>
                <w:kern w:val="0"/>
                <w:sz w:val="22"/>
              </w:rPr>
              <w:t>)</w:t>
            </w:r>
            <w:r>
              <w:rPr>
                <w:rFonts w:ascii="宋体" w:hAnsi="宋体" w:eastAsia="宋体" w:cs="宋体"/>
                <w:snapToGrid w:val="0"/>
                <w:color w:val="000000"/>
                <w:spacing w:val="-59"/>
                <w:kern w:val="0"/>
                <w:sz w:val="22"/>
              </w:rPr>
              <w:t xml:space="preserve"> </w:t>
            </w:r>
            <w:r>
              <w:rPr>
                <w:rFonts w:ascii="宋体" w:hAnsi="宋体" w:eastAsia="宋体" w:cs="宋体"/>
                <w:snapToGrid w:val="0"/>
                <w:color w:val="000000"/>
                <w:spacing w:val="-8"/>
                <w:kern w:val="0"/>
                <w:sz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614" w:type="dxa"/>
            <w:vMerge w:val="continue"/>
            <w:tcBorders>
              <w:top w:val="nil"/>
              <w:bottom w:val="nil"/>
            </w:tcBorders>
          </w:tcPr>
          <w:p>
            <w:pPr>
              <w:rPr>
                <w:rFonts w:ascii="Arial" w:hAnsi="Arial" w:cs="Arial"/>
                <w:snapToGrid w:val="0"/>
                <w:color w:val="000000"/>
                <w:kern w:val="0"/>
                <w:szCs w:val="21"/>
              </w:rPr>
            </w:pPr>
          </w:p>
        </w:tc>
        <w:tc>
          <w:tcPr>
            <w:tcW w:w="1139" w:type="dxa"/>
            <w:vMerge w:val="continue"/>
            <w:tcBorders>
              <w:top w:val="nil"/>
              <w:bottom w:val="nil"/>
            </w:tcBorders>
          </w:tcPr>
          <w:p>
            <w:pPr>
              <w:rPr>
                <w:rFonts w:ascii="Arial" w:hAnsi="Arial" w:cs="Arial"/>
                <w:snapToGrid w:val="0"/>
                <w:color w:val="000000"/>
                <w:kern w:val="0"/>
                <w:szCs w:val="21"/>
              </w:rPr>
            </w:pPr>
          </w:p>
        </w:tc>
        <w:tc>
          <w:tcPr>
            <w:tcW w:w="8487" w:type="dxa"/>
          </w:tcPr>
          <w:p>
            <w:pPr>
              <w:spacing w:before="90" w:line="211" w:lineRule="auto"/>
              <w:ind w:left="61" w:right="62"/>
              <w:rPr>
                <w:rFonts w:ascii="宋体" w:hAnsi="宋体" w:eastAsia="宋体" w:cs="宋体"/>
                <w:snapToGrid w:val="0"/>
                <w:color w:val="000000"/>
                <w:kern w:val="0"/>
                <w:sz w:val="22"/>
              </w:rPr>
            </w:pPr>
            <w:r>
              <w:rPr>
                <w:rFonts w:ascii="宋体" w:hAnsi="宋体" w:eastAsia="宋体" w:cs="宋体"/>
                <w:snapToGrid w:val="0"/>
                <w:color w:val="000000"/>
                <w:spacing w:val="3"/>
                <w:kern w:val="0"/>
                <w:sz w:val="22"/>
              </w:rPr>
              <w:t>1.3课堂教学须遵守上、下课时间。上课期间严禁使</w:t>
            </w:r>
            <w:r>
              <w:rPr>
                <w:rFonts w:ascii="宋体" w:hAnsi="宋体" w:eastAsia="宋体" w:cs="宋体"/>
                <w:snapToGrid w:val="0"/>
                <w:color w:val="000000"/>
                <w:spacing w:val="2"/>
                <w:kern w:val="0"/>
                <w:sz w:val="22"/>
              </w:rPr>
              <w:t>用手机或其他电子产品进行与教学</w:t>
            </w:r>
            <w:r>
              <w:rPr>
                <w:rFonts w:ascii="宋体" w:hAnsi="宋体" w:eastAsia="宋体" w:cs="宋体"/>
                <w:snapToGrid w:val="0"/>
                <w:color w:val="000000"/>
                <w:kern w:val="0"/>
                <w:sz w:val="22"/>
              </w:rPr>
              <w:t xml:space="preserve"> </w:t>
            </w:r>
            <w:r>
              <w:rPr>
                <w:rFonts w:ascii="宋体" w:hAnsi="宋体" w:eastAsia="宋体" w:cs="宋体"/>
                <w:snapToGrid w:val="0"/>
                <w:color w:val="000000"/>
                <w:spacing w:val="18"/>
                <w:kern w:val="0"/>
                <w:sz w:val="22"/>
              </w:rPr>
              <w:t>无关的活动。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614" w:type="dxa"/>
            <w:vMerge w:val="continue"/>
            <w:tcBorders>
              <w:top w:val="nil"/>
            </w:tcBorders>
          </w:tcPr>
          <w:p>
            <w:pPr>
              <w:rPr>
                <w:rFonts w:ascii="Arial" w:hAnsi="Arial" w:cs="Arial"/>
                <w:snapToGrid w:val="0"/>
                <w:color w:val="000000"/>
                <w:kern w:val="0"/>
                <w:szCs w:val="21"/>
              </w:rPr>
            </w:pPr>
          </w:p>
        </w:tc>
        <w:tc>
          <w:tcPr>
            <w:tcW w:w="1139" w:type="dxa"/>
            <w:vMerge w:val="continue"/>
            <w:tcBorders>
              <w:top w:val="nil"/>
            </w:tcBorders>
          </w:tcPr>
          <w:p>
            <w:pPr>
              <w:rPr>
                <w:rFonts w:ascii="Arial" w:hAnsi="Arial" w:cs="Arial"/>
                <w:snapToGrid w:val="0"/>
                <w:color w:val="000000"/>
                <w:kern w:val="0"/>
                <w:szCs w:val="21"/>
              </w:rPr>
            </w:pPr>
          </w:p>
        </w:tc>
        <w:tc>
          <w:tcPr>
            <w:tcW w:w="8487" w:type="dxa"/>
          </w:tcPr>
          <w:p>
            <w:pPr>
              <w:spacing w:before="72" w:line="227" w:lineRule="auto"/>
              <w:ind w:left="61" w:right="43"/>
              <w:rPr>
                <w:rFonts w:ascii="宋体" w:hAnsi="宋体" w:eastAsia="宋体" w:cs="宋体"/>
                <w:snapToGrid w:val="0"/>
                <w:color w:val="000000"/>
                <w:kern w:val="0"/>
                <w:sz w:val="22"/>
              </w:rPr>
            </w:pPr>
            <w:r>
              <w:rPr>
                <w:rFonts w:ascii="宋体" w:hAnsi="宋体" w:eastAsia="宋体" w:cs="宋体"/>
                <w:snapToGrid w:val="0"/>
                <w:color w:val="000000"/>
                <w:spacing w:val="3"/>
                <w:kern w:val="0"/>
                <w:sz w:val="22"/>
              </w:rPr>
              <w:t xml:space="preserve">1.4教师对课堂秩序负责，保证课堂教学有计划有秩序地进行。实验、实践环节的教学 </w:t>
            </w:r>
            <w:r>
              <w:rPr>
                <w:rFonts w:ascii="宋体" w:hAnsi="宋体" w:eastAsia="宋体" w:cs="宋体"/>
                <w:snapToGrid w:val="0"/>
                <w:color w:val="000000"/>
                <w:spacing w:val="9"/>
                <w:kern w:val="0"/>
                <w:sz w:val="22"/>
              </w:rPr>
              <w:t>应对学生做好安全教育。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14" w:type="dxa"/>
            <w:vMerge w:val="restart"/>
            <w:tcBorders>
              <w:bottom w:val="nil"/>
            </w:tcBorders>
          </w:tcPr>
          <w:p>
            <w:pPr>
              <w:spacing w:line="277" w:lineRule="auto"/>
              <w:rPr>
                <w:rFonts w:ascii="Arial" w:hAnsi="Arial" w:cs="Arial"/>
                <w:snapToGrid w:val="0"/>
                <w:color w:val="000000"/>
                <w:kern w:val="0"/>
                <w:szCs w:val="21"/>
              </w:rPr>
            </w:pPr>
          </w:p>
          <w:p>
            <w:pPr>
              <w:spacing w:line="277" w:lineRule="auto"/>
              <w:rPr>
                <w:rFonts w:ascii="Arial" w:hAnsi="Arial" w:cs="Arial"/>
                <w:snapToGrid w:val="0"/>
                <w:color w:val="000000"/>
                <w:kern w:val="0"/>
                <w:szCs w:val="21"/>
              </w:rPr>
            </w:pPr>
          </w:p>
          <w:p>
            <w:pPr>
              <w:spacing w:before="72" w:line="183" w:lineRule="auto"/>
              <w:ind w:left="248"/>
              <w:rPr>
                <w:rFonts w:ascii="宋体" w:hAnsi="宋体" w:eastAsia="宋体" w:cs="宋体"/>
                <w:snapToGrid w:val="0"/>
                <w:color w:val="000000"/>
                <w:kern w:val="0"/>
                <w:sz w:val="22"/>
              </w:rPr>
            </w:pPr>
            <w:r>
              <w:rPr>
                <w:rFonts w:ascii="宋体" w:hAnsi="宋体" w:eastAsia="宋体" w:cs="宋体"/>
                <w:b/>
                <w:bCs/>
                <w:snapToGrid w:val="0"/>
                <w:color w:val="000000"/>
                <w:spacing w:val="-3"/>
                <w:kern w:val="0"/>
                <w:sz w:val="22"/>
              </w:rPr>
              <w:t>2</w:t>
            </w:r>
          </w:p>
        </w:tc>
        <w:tc>
          <w:tcPr>
            <w:tcW w:w="1139" w:type="dxa"/>
            <w:vMerge w:val="restart"/>
            <w:tcBorders>
              <w:bottom w:val="nil"/>
            </w:tcBorders>
          </w:tcPr>
          <w:p>
            <w:pPr>
              <w:spacing w:line="247" w:lineRule="auto"/>
              <w:rPr>
                <w:rFonts w:ascii="Arial" w:hAnsi="Arial" w:cs="Arial"/>
                <w:snapToGrid w:val="0"/>
                <w:color w:val="000000"/>
                <w:kern w:val="0"/>
                <w:szCs w:val="21"/>
              </w:rPr>
            </w:pPr>
          </w:p>
          <w:p>
            <w:pPr>
              <w:spacing w:line="248" w:lineRule="auto"/>
              <w:rPr>
                <w:rFonts w:ascii="Arial" w:hAnsi="Arial" w:cs="Arial"/>
                <w:snapToGrid w:val="0"/>
                <w:color w:val="000000"/>
                <w:kern w:val="0"/>
                <w:szCs w:val="21"/>
              </w:rPr>
            </w:pPr>
          </w:p>
          <w:p>
            <w:pPr>
              <w:spacing w:before="71" w:line="219" w:lineRule="auto"/>
              <w:ind w:left="184"/>
              <w:rPr>
                <w:rFonts w:ascii="宋体" w:hAnsi="宋体" w:eastAsia="宋体" w:cs="宋体"/>
                <w:snapToGrid w:val="0"/>
                <w:color w:val="000000"/>
                <w:kern w:val="0"/>
                <w:sz w:val="22"/>
              </w:rPr>
            </w:pPr>
            <w:r>
              <w:rPr>
                <w:rFonts w:ascii="宋体" w:hAnsi="宋体" w:eastAsia="宋体" w:cs="宋体"/>
                <w:b/>
                <w:bCs/>
                <w:snapToGrid w:val="0"/>
                <w:color w:val="000000"/>
                <w:spacing w:val="-5"/>
                <w:kern w:val="0"/>
                <w:sz w:val="22"/>
              </w:rPr>
              <w:t>教学内容</w:t>
            </w:r>
          </w:p>
        </w:tc>
        <w:tc>
          <w:tcPr>
            <w:tcW w:w="8487" w:type="dxa"/>
          </w:tcPr>
          <w:p>
            <w:pPr>
              <w:spacing w:before="61" w:line="218" w:lineRule="auto"/>
              <w:ind w:left="61"/>
              <w:rPr>
                <w:rFonts w:ascii="宋体" w:hAnsi="宋体" w:eastAsia="宋体" w:cs="宋体"/>
                <w:snapToGrid w:val="0"/>
                <w:color w:val="000000"/>
                <w:kern w:val="0"/>
                <w:sz w:val="22"/>
              </w:rPr>
            </w:pPr>
            <w:r>
              <w:rPr>
                <w:rFonts w:ascii="宋体" w:hAnsi="宋体" w:eastAsia="宋体" w:cs="宋体"/>
                <w:snapToGrid w:val="0"/>
                <w:color w:val="000000"/>
                <w:spacing w:val="3"/>
                <w:kern w:val="0"/>
                <w:sz w:val="22"/>
              </w:rPr>
              <w:t>2.1课堂教学内容融入思政元素，注重对学生的价值引领和情感塑造。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614" w:type="dxa"/>
            <w:vMerge w:val="continue"/>
            <w:tcBorders>
              <w:top w:val="nil"/>
              <w:bottom w:val="nil"/>
            </w:tcBorders>
          </w:tcPr>
          <w:p>
            <w:pPr>
              <w:rPr>
                <w:rFonts w:ascii="Arial" w:hAnsi="Arial" w:cs="Arial"/>
                <w:snapToGrid w:val="0"/>
                <w:color w:val="000000"/>
                <w:kern w:val="0"/>
                <w:szCs w:val="21"/>
              </w:rPr>
            </w:pPr>
          </w:p>
        </w:tc>
        <w:tc>
          <w:tcPr>
            <w:tcW w:w="1139" w:type="dxa"/>
            <w:vMerge w:val="continue"/>
            <w:tcBorders>
              <w:top w:val="nil"/>
              <w:bottom w:val="nil"/>
            </w:tcBorders>
          </w:tcPr>
          <w:p>
            <w:pPr>
              <w:rPr>
                <w:rFonts w:ascii="Arial" w:hAnsi="Arial" w:cs="Arial"/>
                <w:snapToGrid w:val="0"/>
                <w:color w:val="000000"/>
                <w:kern w:val="0"/>
                <w:szCs w:val="21"/>
              </w:rPr>
            </w:pPr>
          </w:p>
        </w:tc>
        <w:tc>
          <w:tcPr>
            <w:tcW w:w="8487" w:type="dxa"/>
          </w:tcPr>
          <w:p>
            <w:pPr>
              <w:spacing w:before="61" w:line="238" w:lineRule="auto"/>
              <w:ind w:left="61" w:right="84"/>
              <w:rPr>
                <w:rFonts w:ascii="宋体" w:hAnsi="宋体" w:eastAsia="宋体" w:cs="宋体"/>
                <w:snapToGrid w:val="0"/>
                <w:color w:val="000000"/>
                <w:kern w:val="0"/>
                <w:sz w:val="22"/>
              </w:rPr>
            </w:pPr>
            <w:r>
              <w:rPr>
                <w:rFonts w:ascii="宋体" w:hAnsi="宋体" w:eastAsia="宋体" w:cs="宋体"/>
                <w:snapToGrid w:val="0"/>
                <w:color w:val="000000"/>
                <w:spacing w:val="2"/>
                <w:kern w:val="0"/>
                <w:sz w:val="22"/>
              </w:rPr>
              <w:t>2.2教学内容具有一定的广度和深度，根据教学目标及时更新教学内容，展现学科前沿</w:t>
            </w:r>
            <w:r>
              <w:rPr>
                <w:rFonts w:ascii="宋体" w:hAnsi="宋体" w:eastAsia="宋体" w:cs="宋体"/>
                <w:snapToGrid w:val="0"/>
                <w:color w:val="000000"/>
                <w:spacing w:val="1"/>
                <w:kern w:val="0"/>
                <w:sz w:val="22"/>
              </w:rPr>
              <w:t xml:space="preserve"> </w:t>
            </w:r>
            <w:r>
              <w:rPr>
                <w:rFonts w:ascii="宋体" w:hAnsi="宋体" w:eastAsia="宋体" w:cs="宋体"/>
                <w:snapToGrid w:val="0"/>
                <w:color w:val="000000"/>
                <w:spacing w:val="-8"/>
                <w:kern w:val="0"/>
                <w:sz w:val="22"/>
              </w:rPr>
              <w:t>知</w:t>
            </w:r>
            <w:r>
              <w:rPr>
                <w:rFonts w:ascii="宋体" w:hAnsi="宋体" w:eastAsia="宋体" w:cs="宋体"/>
                <w:snapToGrid w:val="0"/>
                <w:color w:val="000000"/>
                <w:spacing w:val="-23"/>
                <w:kern w:val="0"/>
                <w:sz w:val="22"/>
              </w:rPr>
              <w:t xml:space="preserve"> </w:t>
            </w:r>
            <w:r>
              <w:rPr>
                <w:rFonts w:ascii="宋体" w:hAnsi="宋体" w:eastAsia="宋体" w:cs="宋体"/>
                <w:snapToGrid w:val="0"/>
                <w:color w:val="000000"/>
                <w:spacing w:val="-8"/>
                <w:kern w:val="0"/>
                <w:sz w:val="22"/>
              </w:rPr>
              <w:t>识</w:t>
            </w:r>
            <w:r>
              <w:rPr>
                <w:rFonts w:ascii="宋体" w:hAnsi="宋体" w:eastAsia="宋体" w:cs="宋体"/>
                <w:snapToGrid w:val="0"/>
                <w:color w:val="000000"/>
                <w:spacing w:val="-33"/>
                <w:kern w:val="0"/>
                <w:sz w:val="22"/>
              </w:rPr>
              <w:t xml:space="preserve"> </w:t>
            </w:r>
            <w:r>
              <w:rPr>
                <w:rFonts w:ascii="宋体" w:hAnsi="宋体" w:eastAsia="宋体" w:cs="宋体"/>
                <w:snapToGrid w:val="0"/>
                <w:color w:val="000000"/>
                <w:spacing w:val="-8"/>
                <w:kern w:val="0"/>
                <w:sz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614" w:type="dxa"/>
            <w:vMerge w:val="continue"/>
            <w:tcBorders>
              <w:top w:val="nil"/>
            </w:tcBorders>
          </w:tcPr>
          <w:p>
            <w:pPr>
              <w:rPr>
                <w:rFonts w:ascii="Arial" w:hAnsi="Arial" w:cs="Arial"/>
                <w:snapToGrid w:val="0"/>
                <w:color w:val="000000"/>
                <w:kern w:val="0"/>
                <w:szCs w:val="21"/>
              </w:rPr>
            </w:pPr>
          </w:p>
        </w:tc>
        <w:tc>
          <w:tcPr>
            <w:tcW w:w="1139" w:type="dxa"/>
            <w:vMerge w:val="continue"/>
            <w:tcBorders>
              <w:top w:val="nil"/>
            </w:tcBorders>
          </w:tcPr>
          <w:p>
            <w:pPr>
              <w:rPr>
                <w:rFonts w:ascii="Arial" w:hAnsi="Arial" w:cs="Arial"/>
                <w:snapToGrid w:val="0"/>
                <w:color w:val="000000"/>
                <w:kern w:val="0"/>
                <w:szCs w:val="21"/>
              </w:rPr>
            </w:pPr>
          </w:p>
        </w:tc>
        <w:tc>
          <w:tcPr>
            <w:tcW w:w="8487" w:type="dxa"/>
          </w:tcPr>
          <w:p>
            <w:pPr>
              <w:spacing w:before="74" w:line="219" w:lineRule="auto"/>
              <w:ind w:left="61"/>
              <w:rPr>
                <w:rFonts w:ascii="宋体" w:hAnsi="宋体" w:eastAsia="宋体" w:cs="宋体"/>
                <w:snapToGrid w:val="0"/>
                <w:color w:val="000000"/>
                <w:kern w:val="0"/>
                <w:sz w:val="22"/>
              </w:rPr>
            </w:pPr>
            <w:r>
              <w:rPr>
                <w:rFonts w:ascii="宋体" w:hAnsi="宋体" w:eastAsia="宋体" w:cs="宋体"/>
                <w:snapToGrid w:val="0"/>
                <w:color w:val="000000"/>
                <w:spacing w:val="3"/>
                <w:kern w:val="0"/>
                <w:sz w:val="22"/>
              </w:rPr>
              <w:t>2.3引入或自制优秀在线教学资源等，融入课堂教学过程，丰富教学内容。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614" w:type="dxa"/>
            <w:vMerge w:val="restart"/>
            <w:tcBorders>
              <w:bottom w:val="nil"/>
            </w:tcBorders>
          </w:tcPr>
          <w:p>
            <w:pPr>
              <w:spacing w:line="342" w:lineRule="auto"/>
              <w:rPr>
                <w:rFonts w:ascii="Arial" w:hAnsi="Arial" w:cs="Arial"/>
                <w:snapToGrid w:val="0"/>
                <w:color w:val="000000"/>
                <w:kern w:val="0"/>
                <w:szCs w:val="21"/>
              </w:rPr>
            </w:pPr>
          </w:p>
          <w:p>
            <w:pPr>
              <w:spacing w:line="343" w:lineRule="auto"/>
              <w:rPr>
                <w:rFonts w:ascii="Arial" w:hAnsi="Arial" w:cs="Arial"/>
                <w:snapToGrid w:val="0"/>
                <w:color w:val="000000"/>
                <w:kern w:val="0"/>
                <w:szCs w:val="21"/>
              </w:rPr>
            </w:pPr>
          </w:p>
          <w:p>
            <w:pPr>
              <w:spacing w:before="71" w:line="183" w:lineRule="auto"/>
              <w:ind w:left="244"/>
              <w:rPr>
                <w:rFonts w:ascii="宋体" w:hAnsi="宋体" w:eastAsia="宋体" w:cs="宋体"/>
                <w:snapToGrid w:val="0"/>
                <w:color w:val="000000"/>
                <w:kern w:val="0"/>
                <w:sz w:val="22"/>
              </w:rPr>
            </w:pPr>
            <w:r>
              <w:rPr>
                <w:rFonts w:ascii="宋体" w:hAnsi="宋体" w:eastAsia="宋体" w:cs="宋体"/>
                <w:snapToGrid w:val="0"/>
                <w:color w:val="000000"/>
                <w:kern w:val="0"/>
                <w:sz w:val="22"/>
              </w:rPr>
              <w:t>3</w:t>
            </w:r>
          </w:p>
        </w:tc>
        <w:tc>
          <w:tcPr>
            <w:tcW w:w="1139" w:type="dxa"/>
            <w:vMerge w:val="restart"/>
            <w:tcBorders>
              <w:bottom w:val="nil"/>
            </w:tcBorders>
          </w:tcPr>
          <w:p>
            <w:pPr>
              <w:spacing w:line="317" w:lineRule="auto"/>
              <w:rPr>
                <w:rFonts w:ascii="Arial" w:hAnsi="Arial" w:cs="Arial"/>
                <w:snapToGrid w:val="0"/>
                <w:color w:val="000000"/>
                <w:kern w:val="0"/>
                <w:szCs w:val="21"/>
              </w:rPr>
            </w:pPr>
          </w:p>
          <w:p>
            <w:pPr>
              <w:spacing w:before="72" w:line="219" w:lineRule="auto"/>
              <w:ind w:left="184"/>
              <w:rPr>
                <w:rFonts w:ascii="宋体" w:hAnsi="宋体" w:eastAsia="宋体" w:cs="宋体"/>
                <w:snapToGrid w:val="0"/>
                <w:color w:val="000000"/>
                <w:kern w:val="0"/>
                <w:sz w:val="22"/>
              </w:rPr>
            </w:pPr>
            <w:r>
              <w:rPr>
                <w:rFonts w:ascii="宋体" w:hAnsi="宋体" w:eastAsia="宋体" w:cs="宋体"/>
                <w:b/>
                <w:bCs/>
                <w:snapToGrid w:val="0"/>
                <w:color w:val="000000"/>
                <w:spacing w:val="-5"/>
                <w:kern w:val="0"/>
                <w:sz w:val="22"/>
              </w:rPr>
              <w:t>教学组织</w:t>
            </w:r>
          </w:p>
          <w:p>
            <w:pPr>
              <w:spacing w:before="28" w:line="302" w:lineRule="exact"/>
              <w:ind w:left="224"/>
              <w:rPr>
                <w:rFonts w:ascii="宋体" w:hAnsi="宋体" w:eastAsia="宋体" w:cs="宋体"/>
                <w:snapToGrid w:val="0"/>
                <w:color w:val="000000"/>
                <w:kern w:val="0"/>
                <w:sz w:val="22"/>
              </w:rPr>
            </w:pPr>
            <w:r>
              <w:rPr>
                <w:rFonts w:ascii="宋体" w:hAnsi="宋体" w:eastAsia="宋体" w:cs="宋体"/>
                <w:b/>
                <w:bCs/>
                <w:snapToGrid w:val="0"/>
                <w:color w:val="000000"/>
                <w:spacing w:val="-6"/>
                <w:kern w:val="0"/>
                <w:position w:val="5"/>
                <w:sz w:val="22"/>
              </w:rPr>
              <w:t>与教学</w:t>
            </w:r>
          </w:p>
          <w:p>
            <w:pPr>
              <w:spacing w:line="220" w:lineRule="auto"/>
              <w:ind w:left="334"/>
              <w:rPr>
                <w:rFonts w:ascii="宋体" w:hAnsi="宋体" w:eastAsia="宋体" w:cs="宋体"/>
                <w:snapToGrid w:val="0"/>
                <w:color w:val="000000"/>
                <w:kern w:val="0"/>
                <w:sz w:val="22"/>
              </w:rPr>
            </w:pPr>
            <w:r>
              <w:rPr>
                <w:rFonts w:ascii="宋体" w:hAnsi="宋体" w:eastAsia="宋体" w:cs="宋体"/>
                <w:b/>
                <w:bCs/>
                <w:snapToGrid w:val="0"/>
                <w:color w:val="000000"/>
                <w:spacing w:val="-5"/>
                <w:kern w:val="0"/>
                <w:sz w:val="22"/>
              </w:rPr>
              <w:t>方法</w:t>
            </w:r>
          </w:p>
        </w:tc>
        <w:tc>
          <w:tcPr>
            <w:tcW w:w="8487" w:type="dxa"/>
          </w:tcPr>
          <w:p>
            <w:pPr>
              <w:spacing w:before="85" w:line="219" w:lineRule="auto"/>
              <w:ind w:left="61" w:right="43"/>
              <w:rPr>
                <w:rFonts w:ascii="宋体" w:hAnsi="宋体" w:eastAsia="宋体" w:cs="宋体"/>
                <w:snapToGrid w:val="0"/>
                <w:color w:val="000000"/>
                <w:kern w:val="0"/>
                <w:sz w:val="22"/>
              </w:rPr>
            </w:pPr>
            <w:r>
              <w:rPr>
                <w:rFonts w:ascii="宋体" w:hAnsi="宋体" w:eastAsia="宋体" w:cs="宋体"/>
                <w:snapToGrid w:val="0"/>
                <w:color w:val="000000"/>
                <w:spacing w:val="3"/>
                <w:kern w:val="0"/>
                <w:sz w:val="22"/>
              </w:rPr>
              <w:t xml:space="preserve">3.1课堂讲授条理清晰，过程流畅；理论联系实际，重点和难点突出；实践环节示范操 </w:t>
            </w:r>
            <w:r>
              <w:rPr>
                <w:rFonts w:ascii="宋体" w:hAnsi="宋体" w:eastAsia="宋体" w:cs="宋体"/>
                <w:snapToGrid w:val="0"/>
                <w:color w:val="000000"/>
                <w:spacing w:val="15"/>
                <w:kern w:val="0"/>
                <w:sz w:val="22"/>
              </w:rPr>
              <w:t>作规范、熟练。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614" w:type="dxa"/>
            <w:vMerge w:val="continue"/>
            <w:tcBorders>
              <w:top w:val="nil"/>
              <w:bottom w:val="nil"/>
            </w:tcBorders>
          </w:tcPr>
          <w:p>
            <w:pPr>
              <w:rPr>
                <w:rFonts w:ascii="Arial" w:hAnsi="Arial" w:cs="Arial"/>
                <w:snapToGrid w:val="0"/>
                <w:color w:val="000000"/>
                <w:kern w:val="0"/>
                <w:szCs w:val="21"/>
              </w:rPr>
            </w:pPr>
          </w:p>
        </w:tc>
        <w:tc>
          <w:tcPr>
            <w:tcW w:w="1139" w:type="dxa"/>
            <w:vMerge w:val="continue"/>
            <w:tcBorders>
              <w:top w:val="nil"/>
              <w:bottom w:val="nil"/>
            </w:tcBorders>
          </w:tcPr>
          <w:p>
            <w:pPr>
              <w:rPr>
                <w:rFonts w:ascii="Arial" w:hAnsi="Arial" w:cs="Arial"/>
                <w:snapToGrid w:val="0"/>
                <w:color w:val="000000"/>
                <w:kern w:val="0"/>
                <w:szCs w:val="21"/>
              </w:rPr>
            </w:pPr>
          </w:p>
        </w:tc>
        <w:tc>
          <w:tcPr>
            <w:tcW w:w="8487" w:type="dxa"/>
          </w:tcPr>
          <w:p>
            <w:pPr>
              <w:spacing w:before="74" w:line="228" w:lineRule="auto"/>
              <w:ind w:left="61"/>
              <w:rPr>
                <w:rFonts w:ascii="宋体" w:hAnsi="宋体" w:eastAsia="宋体" w:cs="宋体"/>
                <w:snapToGrid w:val="0"/>
                <w:color w:val="000000"/>
                <w:kern w:val="0"/>
                <w:szCs w:val="21"/>
              </w:rPr>
            </w:pPr>
            <w:r>
              <w:rPr>
                <w:rFonts w:ascii="宋体" w:hAnsi="宋体" w:eastAsia="宋体" w:cs="宋体"/>
                <w:snapToGrid w:val="0"/>
                <w:color w:val="000000"/>
                <w:spacing w:val="8"/>
                <w:kern w:val="0"/>
                <w:szCs w:val="21"/>
              </w:rPr>
              <w:t>3.2根据教学内容组织有效的教学活动。充分利用课堂时间，课堂教学安排合理、紧凑。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9" w:hRule="atLeast"/>
        </w:trPr>
        <w:tc>
          <w:tcPr>
            <w:tcW w:w="614" w:type="dxa"/>
            <w:vMerge w:val="continue"/>
            <w:tcBorders>
              <w:top w:val="nil"/>
            </w:tcBorders>
          </w:tcPr>
          <w:p>
            <w:pPr>
              <w:rPr>
                <w:rFonts w:ascii="Arial" w:hAnsi="Arial" w:cs="Arial"/>
                <w:snapToGrid w:val="0"/>
                <w:color w:val="000000"/>
                <w:kern w:val="0"/>
                <w:szCs w:val="21"/>
              </w:rPr>
            </w:pPr>
          </w:p>
        </w:tc>
        <w:tc>
          <w:tcPr>
            <w:tcW w:w="1139" w:type="dxa"/>
            <w:vMerge w:val="continue"/>
            <w:tcBorders>
              <w:top w:val="nil"/>
            </w:tcBorders>
          </w:tcPr>
          <w:p>
            <w:pPr>
              <w:rPr>
                <w:rFonts w:ascii="Arial" w:hAnsi="Arial" w:cs="Arial"/>
                <w:snapToGrid w:val="0"/>
                <w:color w:val="000000"/>
                <w:kern w:val="0"/>
                <w:szCs w:val="21"/>
              </w:rPr>
            </w:pPr>
          </w:p>
        </w:tc>
        <w:tc>
          <w:tcPr>
            <w:tcW w:w="8487" w:type="dxa"/>
          </w:tcPr>
          <w:p>
            <w:pPr>
              <w:spacing w:before="94" w:line="223" w:lineRule="auto"/>
              <w:ind w:left="61" w:right="46"/>
              <w:rPr>
                <w:rFonts w:ascii="宋体" w:hAnsi="宋体" w:eastAsia="宋体" w:cs="宋体"/>
                <w:snapToGrid w:val="0"/>
                <w:color w:val="000000"/>
                <w:kern w:val="0"/>
                <w:sz w:val="22"/>
              </w:rPr>
            </w:pPr>
            <w:r>
              <w:rPr>
                <w:rFonts w:ascii="宋体" w:hAnsi="宋体" w:eastAsia="宋体" w:cs="宋体"/>
                <w:snapToGrid w:val="0"/>
                <w:color w:val="000000"/>
                <w:spacing w:val="3"/>
                <w:kern w:val="0"/>
                <w:sz w:val="22"/>
              </w:rPr>
              <w:t>3.3灵活运用现代化教学手段，采用研讨式、案例式、实地考察、小组合作等多种形式</w:t>
            </w:r>
            <w:r>
              <w:rPr>
                <w:rFonts w:ascii="宋体" w:hAnsi="宋体" w:eastAsia="宋体" w:cs="宋体"/>
                <w:snapToGrid w:val="0"/>
                <w:color w:val="000000"/>
                <w:kern w:val="0"/>
                <w:sz w:val="22"/>
              </w:rPr>
              <w:t xml:space="preserve"> </w:t>
            </w:r>
            <w:r>
              <w:rPr>
                <w:rFonts w:ascii="宋体" w:hAnsi="宋体" w:eastAsia="宋体" w:cs="宋体"/>
                <w:snapToGrid w:val="0"/>
                <w:color w:val="000000"/>
                <w:spacing w:val="6"/>
                <w:kern w:val="0"/>
                <w:sz w:val="22"/>
              </w:rPr>
              <w:t>的教学方法，引导学生主动学习和思考。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614" w:type="dxa"/>
            <w:vMerge w:val="restart"/>
            <w:tcBorders>
              <w:bottom w:val="nil"/>
            </w:tcBorders>
          </w:tcPr>
          <w:p>
            <w:pPr>
              <w:spacing w:line="251" w:lineRule="auto"/>
              <w:rPr>
                <w:rFonts w:ascii="Arial" w:hAnsi="Arial" w:cs="Arial"/>
                <w:snapToGrid w:val="0"/>
                <w:color w:val="000000"/>
                <w:kern w:val="0"/>
                <w:szCs w:val="21"/>
              </w:rPr>
            </w:pPr>
          </w:p>
          <w:p>
            <w:pPr>
              <w:spacing w:line="251" w:lineRule="auto"/>
              <w:rPr>
                <w:rFonts w:ascii="Arial" w:hAnsi="Arial" w:cs="Arial"/>
                <w:snapToGrid w:val="0"/>
                <w:color w:val="000000"/>
                <w:kern w:val="0"/>
                <w:szCs w:val="21"/>
              </w:rPr>
            </w:pPr>
          </w:p>
          <w:p>
            <w:pPr>
              <w:spacing w:line="251" w:lineRule="auto"/>
              <w:rPr>
                <w:rFonts w:ascii="Arial" w:hAnsi="Arial" w:cs="Arial"/>
                <w:snapToGrid w:val="0"/>
                <w:color w:val="000000"/>
                <w:kern w:val="0"/>
                <w:szCs w:val="21"/>
              </w:rPr>
            </w:pPr>
          </w:p>
          <w:p>
            <w:pPr>
              <w:spacing w:line="252" w:lineRule="auto"/>
              <w:rPr>
                <w:rFonts w:ascii="Arial" w:hAnsi="Arial" w:cs="Arial"/>
                <w:snapToGrid w:val="0"/>
                <w:color w:val="000000"/>
                <w:kern w:val="0"/>
                <w:szCs w:val="21"/>
              </w:rPr>
            </w:pPr>
          </w:p>
          <w:p>
            <w:pPr>
              <w:spacing w:before="71" w:line="183" w:lineRule="auto"/>
              <w:ind w:left="248"/>
              <w:rPr>
                <w:rFonts w:ascii="宋体" w:hAnsi="宋体" w:eastAsia="宋体" w:cs="宋体"/>
                <w:snapToGrid w:val="0"/>
                <w:color w:val="000000"/>
                <w:kern w:val="0"/>
                <w:sz w:val="22"/>
              </w:rPr>
            </w:pPr>
            <w:r>
              <w:rPr>
                <w:rFonts w:ascii="宋体" w:hAnsi="宋体" w:eastAsia="宋体" w:cs="宋体"/>
                <w:b/>
                <w:bCs/>
                <w:snapToGrid w:val="0"/>
                <w:color w:val="000000"/>
                <w:spacing w:val="-3"/>
                <w:kern w:val="0"/>
                <w:sz w:val="22"/>
              </w:rPr>
              <w:t>4</w:t>
            </w:r>
          </w:p>
        </w:tc>
        <w:tc>
          <w:tcPr>
            <w:tcW w:w="1139" w:type="dxa"/>
            <w:vMerge w:val="restart"/>
            <w:tcBorders>
              <w:bottom w:val="nil"/>
            </w:tcBorders>
          </w:tcPr>
          <w:p>
            <w:pPr>
              <w:spacing w:line="315" w:lineRule="auto"/>
              <w:rPr>
                <w:rFonts w:ascii="Arial" w:hAnsi="Arial" w:cs="Arial"/>
                <w:snapToGrid w:val="0"/>
                <w:color w:val="000000"/>
                <w:kern w:val="0"/>
                <w:szCs w:val="21"/>
              </w:rPr>
            </w:pPr>
          </w:p>
          <w:p>
            <w:pPr>
              <w:spacing w:line="315" w:lineRule="auto"/>
              <w:rPr>
                <w:rFonts w:ascii="Arial" w:hAnsi="Arial" w:cs="Arial"/>
                <w:snapToGrid w:val="0"/>
                <w:color w:val="000000"/>
                <w:kern w:val="0"/>
                <w:szCs w:val="21"/>
              </w:rPr>
            </w:pPr>
          </w:p>
          <w:p>
            <w:pPr>
              <w:spacing w:line="315" w:lineRule="auto"/>
              <w:rPr>
                <w:rFonts w:ascii="Arial" w:hAnsi="Arial" w:cs="Arial"/>
                <w:snapToGrid w:val="0"/>
                <w:color w:val="000000"/>
                <w:kern w:val="0"/>
                <w:szCs w:val="21"/>
              </w:rPr>
            </w:pPr>
          </w:p>
          <w:p>
            <w:pPr>
              <w:spacing w:before="72" w:line="219" w:lineRule="auto"/>
              <w:ind w:left="184"/>
              <w:rPr>
                <w:rFonts w:ascii="宋体" w:hAnsi="宋体" w:eastAsia="宋体" w:cs="宋体"/>
                <w:snapToGrid w:val="0"/>
                <w:color w:val="000000"/>
                <w:kern w:val="0"/>
                <w:sz w:val="22"/>
              </w:rPr>
            </w:pPr>
            <w:r>
              <w:rPr>
                <w:rFonts w:ascii="宋体" w:hAnsi="宋体" w:eastAsia="宋体" w:cs="宋体"/>
                <w:b/>
                <w:bCs/>
                <w:snapToGrid w:val="0"/>
                <w:color w:val="000000"/>
                <w:spacing w:val="-1"/>
                <w:kern w:val="0"/>
                <w:sz w:val="22"/>
              </w:rPr>
              <w:t>教学互动</w:t>
            </w:r>
          </w:p>
        </w:tc>
        <w:tc>
          <w:tcPr>
            <w:tcW w:w="8487" w:type="dxa"/>
          </w:tcPr>
          <w:p>
            <w:pPr>
              <w:spacing w:before="85" w:line="219" w:lineRule="auto"/>
              <w:ind w:left="61" w:right="45"/>
              <w:rPr>
                <w:rFonts w:ascii="宋体" w:hAnsi="宋体" w:eastAsia="宋体" w:cs="宋体"/>
                <w:snapToGrid w:val="0"/>
                <w:color w:val="000000"/>
                <w:kern w:val="0"/>
                <w:sz w:val="22"/>
              </w:rPr>
            </w:pPr>
            <w:r>
              <w:rPr>
                <w:rFonts w:ascii="宋体" w:hAnsi="宋体" w:eastAsia="宋体" w:cs="宋体"/>
                <w:snapToGrid w:val="0"/>
                <w:color w:val="000000"/>
                <w:spacing w:val="3"/>
                <w:kern w:val="0"/>
                <w:sz w:val="22"/>
              </w:rPr>
              <w:t>4.1教师围绕课堂教学内容设计引导性问题，为学生营造积极参与、解决问题的课堂情</w:t>
            </w:r>
            <w:r>
              <w:rPr>
                <w:rFonts w:ascii="宋体" w:hAnsi="宋体" w:eastAsia="宋体" w:cs="宋体"/>
                <w:snapToGrid w:val="0"/>
                <w:color w:val="000000"/>
                <w:spacing w:val="1"/>
                <w:kern w:val="0"/>
                <w:sz w:val="22"/>
              </w:rPr>
              <w:t xml:space="preserve"> </w:t>
            </w:r>
            <w:r>
              <w:rPr>
                <w:rFonts w:ascii="宋体" w:hAnsi="宋体" w:eastAsia="宋体" w:cs="宋体"/>
                <w:snapToGrid w:val="0"/>
                <w:color w:val="000000"/>
                <w:spacing w:val="21"/>
                <w:kern w:val="0"/>
                <w:sz w:val="22"/>
              </w:rPr>
              <w:t>景和氛围。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atLeast"/>
        </w:trPr>
        <w:tc>
          <w:tcPr>
            <w:tcW w:w="614" w:type="dxa"/>
            <w:vMerge w:val="continue"/>
            <w:tcBorders>
              <w:top w:val="nil"/>
              <w:bottom w:val="nil"/>
            </w:tcBorders>
          </w:tcPr>
          <w:p>
            <w:pPr>
              <w:rPr>
                <w:rFonts w:ascii="Arial" w:hAnsi="Arial" w:cs="Arial"/>
                <w:snapToGrid w:val="0"/>
                <w:color w:val="000000"/>
                <w:kern w:val="0"/>
                <w:szCs w:val="21"/>
              </w:rPr>
            </w:pPr>
          </w:p>
        </w:tc>
        <w:tc>
          <w:tcPr>
            <w:tcW w:w="1139" w:type="dxa"/>
            <w:vMerge w:val="continue"/>
            <w:tcBorders>
              <w:top w:val="nil"/>
              <w:bottom w:val="nil"/>
            </w:tcBorders>
          </w:tcPr>
          <w:p>
            <w:pPr>
              <w:rPr>
                <w:rFonts w:ascii="Arial" w:hAnsi="Arial" w:cs="Arial"/>
                <w:snapToGrid w:val="0"/>
                <w:color w:val="000000"/>
                <w:kern w:val="0"/>
                <w:szCs w:val="21"/>
              </w:rPr>
            </w:pPr>
          </w:p>
        </w:tc>
        <w:tc>
          <w:tcPr>
            <w:tcW w:w="8487" w:type="dxa"/>
          </w:tcPr>
          <w:p>
            <w:pPr>
              <w:spacing w:before="77" w:line="219" w:lineRule="auto"/>
              <w:ind w:left="61"/>
              <w:rPr>
                <w:rFonts w:ascii="宋体" w:hAnsi="宋体" w:eastAsia="宋体" w:cs="宋体"/>
                <w:snapToGrid w:val="0"/>
                <w:color w:val="000000"/>
                <w:kern w:val="0"/>
                <w:sz w:val="22"/>
              </w:rPr>
            </w:pPr>
            <w:r>
              <w:rPr>
                <w:rFonts w:ascii="宋体" w:hAnsi="宋体" w:eastAsia="宋体" w:cs="宋体"/>
                <w:snapToGrid w:val="0"/>
                <w:color w:val="000000"/>
                <w:spacing w:val="3"/>
                <w:kern w:val="0"/>
                <w:sz w:val="22"/>
              </w:rPr>
              <w:t>4.2学生对于教师的引导能够做出积极的响应，课堂气氛积极融洽。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9" w:hRule="atLeast"/>
        </w:trPr>
        <w:tc>
          <w:tcPr>
            <w:tcW w:w="614" w:type="dxa"/>
            <w:vMerge w:val="continue"/>
            <w:tcBorders>
              <w:top w:val="nil"/>
              <w:bottom w:val="nil"/>
            </w:tcBorders>
          </w:tcPr>
          <w:p>
            <w:pPr>
              <w:rPr>
                <w:rFonts w:ascii="Arial" w:hAnsi="Arial" w:cs="Arial"/>
                <w:snapToGrid w:val="0"/>
                <w:color w:val="000000"/>
                <w:kern w:val="0"/>
                <w:szCs w:val="21"/>
              </w:rPr>
            </w:pPr>
          </w:p>
        </w:tc>
        <w:tc>
          <w:tcPr>
            <w:tcW w:w="1139" w:type="dxa"/>
            <w:vMerge w:val="continue"/>
            <w:tcBorders>
              <w:top w:val="nil"/>
              <w:bottom w:val="nil"/>
            </w:tcBorders>
          </w:tcPr>
          <w:p>
            <w:pPr>
              <w:rPr>
                <w:rFonts w:ascii="Arial" w:hAnsi="Arial" w:cs="Arial"/>
                <w:snapToGrid w:val="0"/>
                <w:color w:val="000000"/>
                <w:kern w:val="0"/>
                <w:szCs w:val="21"/>
              </w:rPr>
            </w:pPr>
          </w:p>
        </w:tc>
        <w:tc>
          <w:tcPr>
            <w:tcW w:w="8487" w:type="dxa"/>
          </w:tcPr>
          <w:p>
            <w:pPr>
              <w:spacing w:before="85" w:line="215" w:lineRule="auto"/>
              <w:ind w:left="61" w:right="46"/>
              <w:rPr>
                <w:rFonts w:ascii="宋体" w:hAnsi="宋体" w:eastAsia="宋体" w:cs="宋体"/>
                <w:snapToGrid w:val="0"/>
                <w:color w:val="000000"/>
                <w:kern w:val="0"/>
                <w:sz w:val="22"/>
              </w:rPr>
            </w:pPr>
            <w:r>
              <w:rPr>
                <w:rFonts w:ascii="宋体" w:hAnsi="宋体" w:eastAsia="宋体" w:cs="宋体"/>
                <w:snapToGrid w:val="0"/>
                <w:color w:val="000000"/>
                <w:spacing w:val="3"/>
                <w:kern w:val="0"/>
                <w:sz w:val="22"/>
              </w:rPr>
              <w:t>4.3教师表现出对学生课堂学习情况的关注，实施形成性评价，能根据课堂反馈情况适</w:t>
            </w:r>
            <w:r>
              <w:rPr>
                <w:rFonts w:ascii="宋体" w:hAnsi="宋体" w:eastAsia="宋体" w:cs="宋体"/>
                <w:snapToGrid w:val="0"/>
                <w:color w:val="000000"/>
                <w:kern w:val="0"/>
                <w:sz w:val="22"/>
              </w:rPr>
              <w:t xml:space="preserve"> </w:t>
            </w:r>
            <w:r>
              <w:rPr>
                <w:rFonts w:ascii="宋体" w:hAnsi="宋体" w:eastAsia="宋体" w:cs="宋体"/>
                <w:snapToGrid w:val="0"/>
                <w:color w:val="000000"/>
                <w:spacing w:val="13"/>
                <w:kern w:val="0"/>
                <w:sz w:val="22"/>
              </w:rPr>
              <w:t>当调整教学策略，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614" w:type="dxa"/>
            <w:vMerge w:val="continue"/>
            <w:tcBorders>
              <w:top w:val="nil"/>
            </w:tcBorders>
          </w:tcPr>
          <w:p>
            <w:pPr>
              <w:rPr>
                <w:rFonts w:ascii="Arial" w:hAnsi="Arial" w:cs="Arial"/>
                <w:snapToGrid w:val="0"/>
                <w:color w:val="000000"/>
                <w:kern w:val="0"/>
                <w:szCs w:val="21"/>
              </w:rPr>
            </w:pPr>
          </w:p>
        </w:tc>
        <w:tc>
          <w:tcPr>
            <w:tcW w:w="1139" w:type="dxa"/>
            <w:vMerge w:val="continue"/>
            <w:tcBorders>
              <w:top w:val="nil"/>
            </w:tcBorders>
          </w:tcPr>
          <w:p>
            <w:pPr>
              <w:rPr>
                <w:rFonts w:ascii="Arial" w:hAnsi="Arial" w:cs="Arial"/>
                <w:snapToGrid w:val="0"/>
                <w:color w:val="000000"/>
                <w:kern w:val="0"/>
                <w:szCs w:val="21"/>
              </w:rPr>
            </w:pPr>
          </w:p>
        </w:tc>
        <w:tc>
          <w:tcPr>
            <w:tcW w:w="8487" w:type="dxa"/>
          </w:tcPr>
          <w:p>
            <w:pPr>
              <w:spacing w:before="86" w:line="215" w:lineRule="auto"/>
              <w:ind w:left="61" w:right="104"/>
              <w:rPr>
                <w:rFonts w:ascii="宋体" w:hAnsi="宋体" w:eastAsia="宋体" w:cs="宋体"/>
                <w:snapToGrid w:val="0"/>
                <w:color w:val="000000"/>
                <w:kern w:val="0"/>
                <w:sz w:val="22"/>
              </w:rPr>
            </w:pPr>
            <w:r>
              <w:rPr>
                <w:rFonts w:ascii="宋体" w:hAnsi="宋体" w:eastAsia="宋体" w:cs="宋体"/>
                <w:snapToGrid w:val="0"/>
                <w:color w:val="000000"/>
                <w:spacing w:val="2"/>
                <w:kern w:val="0"/>
                <w:sz w:val="22"/>
              </w:rPr>
              <w:t>4.4教师对课堂内外教学环节、线下课堂和在</w:t>
            </w:r>
            <w:r>
              <w:rPr>
                <w:rFonts w:ascii="宋体" w:hAnsi="宋体" w:eastAsia="宋体" w:cs="宋体"/>
                <w:snapToGrid w:val="0"/>
                <w:color w:val="000000"/>
                <w:spacing w:val="1"/>
                <w:kern w:val="0"/>
                <w:sz w:val="22"/>
              </w:rPr>
              <w:t>线资源进行综合设计，引导学生自主学习</w:t>
            </w:r>
            <w:r>
              <w:rPr>
                <w:rFonts w:ascii="宋体" w:hAnsi="宋体" w:eastAsia="宋体" w:cs="宋体"/>
                <w:snapToGrid w:val="0"/>
                <w:color w:val="000000"/>
                <w:kern w:val="0"/>
                <w:sz w:val="22"/>
              </w:rPr>
              <w:t xml:space="preserve"> </w:t>
            </w:r>
            <w:r>
              <w:rPr>
                <w:rFonts w:ascii="宋体" w:hAnsi="宋体" w:eastAsia="宋体" w:cs="宋体"/>
                <w:snapToGrid w:val="0"/>
                <w:color w:val="000000"/>
                <w:spacing w:val="18"/>
                <w:kern w:val="0"/>
                <w:sz w:val="22"/>
              </w:rPr>
              <w:t>深层次学习。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4" w:hRule="atLeast"/>
        </w:trPr>
        <w:tc>
          <w:tcPr>
            <w:tcW w:w="614" w:type="dxa"/>
          </w:tcPr>
          <w:p>
            <w:pPr>
              <w:spacing w:before="255" w:line="182" w:lineRule="auto"/>
              <w:ind w:left="248"/>
              <w:rPr>
                <w:rFonts w:ascii="宋体" w:hAnsi="宋体" w:eastAsia="宋体" w:cs="宋体"/>
                <w:snapToGrid w:val="0"/>
                <w:color w:val="000000"/>
                <w:kern w:val="0"/>
                <w:sz w:val="22"/>
              </w:rPr>
            </w:pPr>
            <w:r>
              <w:rPr>
                <w:rFonts w:ascii="宋体" w:hAnsi="宋体" w:eastAsia="宋体" w:cs="宋体"/>
                <w:b/>
                <w:bCs/>
                <w:snapToGrid w:val="0"/>
                <w:color w:val="000000"/>
                <w:spacing w:val="-3"/>
                <w:kern w:val="0"/>
                <w:sz w:val="22"/>
              </w:rPr>
              <w:t>5</w:t>
            </w:r>
          </w:p>
        </w:tc>
        <w:tc>
          <w:tcPr>
            <w:tcW w:w="1139" w:type="dxa"/>
          </w:tcPr>
          <w:p>
            <w:pPr>
              <w:spacing w:before="196" w:line="219" w:lineRule="auto"/>
              <w:ind w:left="184"/>
              <w:rPr>
                <w:rFonts w:ascii="宋体" w:hAnsi="宋体" w:eastAsia="宋体" w:cs="宋体"/>
                <w:snapToGrid w:val="0"/>
                <w:color w:val="000000"/>
                <w:kern w:val="0"/>
                <w:sz w:val="22"/>
              </w:rPr>
            </w:pPr>
            <w:r>
              <w:rPr>
                <w:rFonts w:ascii="宋体" w:hAnsi="宋体" w:eastAsia="宋体" w:cs="宋体"/>
                <w:b/>
                <w:bCs/>
                <w:snapToGrid w:val="0"/>
                <w:color w:val="000000"/>
                <w:spacing w:val="-5"/>
                <w:kern w:val="0"/>
                <w:sz w:val="22"/>
              </w:rPr>
              <w:t>教学效果</w:t>
            </w:r>
          </w:p>
        </w:tc>
        <w:tc>
          <w:tcPr>
            <w:tcW w:w="8487" w:type="dxa"/>
          </w:tcPr>
          <w:p>
            <w:pPr>
              <w:spacing w:before="78" w:line="221" w:lineRule="auto"/>
              <w:ind w:left="61" w:right="42"/>
              <w:rPr>
                <w:rFonts w:ascii="宋体" w:hAnsi="宋体" w:eastAsia="宋体" w:cs="宋体"/>
                <w:snapToGrid w:val="0"/>
                <w:color w:val="000000"/>
                <w:kern w:val="0"/>
                <w:sz w:val="22"/>
              </w:rPr>
            </w:pPr>
            <w:r>
              <w:rPr>
                <w:rFonts w:ascii="宋体" w:hAnsi="宋体" w:eastAsia="宋体" w:cs="宋体"/>
                <w:snapToGrid w:val="0"/>
                <w:color w:val="000000"/>
                <w:spacing w:val="3"/>
                <w:kern w:val="0"/>
                <w:sz w:val="22"/>
              </w:rPr>
              <w:t>5.1教师在课堂教学过程中认真、投入，授课富有感染力，学生课堂专注度较高，课堂</w:t>
            </w:r>
            <w:r>
              <w:rPr>
                <w:rFonts w:ascii="宋体" w:hAnsi="宋体" w:eastAsia="宋体" w:cs="宋体"/>
                <w:snapToGrid w:val="0"/>
                <w:color w:val="000000"/>
                <w:spacing w:val="4"/>
                <w:kern w:val="0"/>
                <w:sz w:val="22"/>
              </w:rPr>
              <w:t xml:space="preserve"> </w:t>
            </w:r>
            <w:r>
              <w:rPr>
                <w:rFonts w:ascii="宋体" w:hAnsi="宋体" w:eastAsia="宋体" w:cs="宋体"/>
                <w:snapToGrid w:val="0"/>
                <w:color w:val="000000"/>
                <w:spacing w:val="3"/>
                <w:kern w:val="0"/>
                <w:sz w:val="22"/>
              </w:rPr>
              <w:t>学习氛围浓厚，教师的“教”与学生的“学”协调配合，取得较好的课堂教学效</w:t>
            </w:r>
            <w:r>
              <w:rPr>
                <w:rFonts w:ascii="宋体" w:hAnsi="宋体" w:eastAsia="宋体" w:cs="宋体"/>
                <w:snapToGrid w:val="0"/>
                <w:color w:val="000000"/>
                <w:spacing w:val="2"/>
                <w:kern w:val="0"/>
                <w:sz w:val="22"/>
              </w:rPr>
              <w:t>果。</w:t>
            </w:r>
          </w:p>
        </w:tc>
      </w:tr>
    </w:tbl>
    <w:p/>
    <w:p/>
    <w:p>
      <w:pPr>
        <w:widowControl/>
        <w:jc w:val="left"/>
        <w:rPr>
          <w:rFonts w:asciiTheme="minorEastAsia" w:hAnsiTheme="minorEastAsia"/>
          <w:sz w:val="28"/>
          <w:szCs w:val="28"/>
        </w:rPr>
      </w:pPr>
    </w:p>
    <w:p>
      <w:pPr>
        <w:spacing w:line="360" w:lineRule="auto"/>
        <w:ind w:firstLine="562" w:firstLineChars="200"/>
        <w:rPr>
          <w:rFonts w:asciiTheme="minorEastAsia" w:hAnsiTheme="minorEastAsia"/>
          <w:b/>
          <w:sz w:val="28"/>
          <w:szCs w:val="28"/>
        </w:rPr>
      </w:pPr>
      <w:r>
        <w:rPr>
          <w:rFonts w:hint="eastAsia" w:asciiTheme="minorEastAsia" w:hAnsiTheme="minorEastAsia"/>
          <w:b/>
          <w:sz w:val="28"/>
          <w:szCs w:val="28"/>
        </w:rPr>
        <w:t>2.上海应用技术大学本科课堂教学质量评价表（试行）</w:t>
      </w:r>
    </w:p>
    <w:p>
      <w:pPr>
        <w:spacing w:line="360" w:lineRule="auto"/>
        <w:ind w:firstLine="562" w:firstLineChars="200"/>
        <w:jc w:val="center"/>
        <w:rPr>
          <w:rFonts w:asciiTheme="minorEastAsia" w:hAnsiTheme="minorEastAsia"/>
          <w:b/>
          <w:sz w:val="28"/>
          <w:szCs w:val="28"/>
        </w:rPr>
      </w:pPr>
      <w:r>
        <w:rPr>
          <w:rFonts w:hint="eastAsia" w:asciiTheme="minorEastAsia" w:hAnsiTheme="minorEastAsia"/>
          <w:b/>
          <w:sz w:val="28"/>
          <w:szCs w:val="28"/>
        </w:rPr>
        <w:t>（理论类课程）</w:t>
      </w:r>
    </w:p>
    <w:tbl>
      <w:tblPr>
        <w:tblStyle w:val="11"/>
        <w:tblpPr w:leftFromText="180" w:rightFromText="180" w:vertAnchor="text" w:horzAnchor="margin" w:tblpXSpec="center" w:tblpY="89"/>
        <w:tblW w:w="10020" w:type="dxa"/>
        <w:tblInd w:w="0" w:type="dxa"/>
        <w:tblLayout w:type="autofit"/>
        <w:tblCellMar>
          <w:top w:w="0" w:type="dxa"/>
          <w:left w:w="108" w:type="dxa"/>
          <w:bottom w:w="0" w:type="dxa"/>
          <w:right w:w="108" w:type="dxa"/>
        </w:tblCellMar>
      </w:tblPr>
      <w:tblGrid>
        <w:gridCol w:w="709"/>
        <w:gridCol w:w="1134"/>
        <w:gridCol w:w="1482"/>
        <w:gridCol w:w="1391"/>
        <w:gridCol w:w="803"/>
        <w:gridCol w:w="66"/>
        <w:gridCol w:w="916"/>
        <w:gridCol w:w="435"/>
        <w:gridCol w:w="223"/>
        <w:gridCol w:w="498"/>
        <w:gridCol w:w="838"/>
        <w:gridCol w:w="123"/>
        <w:gridCol w:w="467"/>
        <w:gridCol w:w="935"/>
      </w:tblGrid>
      <w:tr>
        <w:tblPrEx>
          <w:tblCellMar>
            <w:top w:w="0" w:type="dxa"/>
            <w:left w:w="108" w:type="dxa"/>
            <w:bottom w:w="0" w:type="dxa"/>
            <w:right w:w="108" w:type="dxa"/>
          </w:tblCellMar>
        </w:tblPrEx>
        <w:trPr>
          <w:trHeight w:val="675" w:hRule="atLeast"/>
        </w:trPr>
        <w:tc>
          <w:tcPr>
            <w:tcW w:w="1843" w:type="dxa"/>
            <w:gridSpan w:val="2"/>
            <w:tcBorders>
              <w:top w:val="single" w:color="auto" w:sz="8" w:space="0"/>
              <w:left w:val="single" w:color="auto" w:sz="8" w:space="0"/>
              <w:bottom w:val="single" w:color="auto" w:sz="8" w:space="0"/>
              <w:right w:val="single" w:color="000000" w:sz="8" w:space="0"/>
            </w:tcBorders>
            <w:shd w:val="clear" w:color="auto" w:fill="auto"/>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课程序号   （授课班级）</w:t>
            </w:r>
          </w:p>
        </w:tc>
        <w:tc>
          <w:tcPr>
            <w:tcW w:w="1482"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1391"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课程名称</w:t>
            </w:r>
          </w:p>
        </w:tc>
        <w:tc>
          <w:tcPr>
            <w:tcW w:w="1785" w:type="dxa"/>
            <w:gridSpan w:val="3"/>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1156" w:type="dxa"/>
            <w:gridSpan w:val="3"/>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授课教师</w:t>
            </w:r>
          </w:p>
        </w:tc>
        <w:tc>
          <w:tcPr>
            <w:tcW w:w="2363" w:type="dxa"/>
            <w:gridSpan w:val="4"/>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480" w:hRule="atLeast"/>
        </w:trPr>
        <w:tc>
          <w:tcPr>
            <w:tcW w:w="1843" w:type="dxa"/>
            <w:gridSpan w:val="2"/>
            <w:tcBorders>
              <w:top w:val="single" w:color="auto" w:sz="8" w:space="0"/>
              <w:left w:val="single" w:color="auto" w:sz="8" w:space="0"/>
              <w:bottom w:val="single" w:color="auto" w:sz="8" w:space="0"/>
              <w:right w:val="single" w:color="000000" w:sz="8" w:space="0"/>
            </w:tcBorders>
            <w:shd w:val="clear" w:color="auto" w:fill="auto"/>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教师所在部门</w:t>
            </w:r>
          </w:p>
        </w:tc>
        <w:tc>
          <w:tcPr>
            <w:tcW w:w="1482"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1391"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听课内容</w:t>
            </w:r>
          </w:p>
        </w:tc>
        <w:tc>
          <w:tcPr>
            <w:tcW w:w="5304" w:type="dxa"/>
            <w:gridSpan w:val="10"/>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540" w:hRule="atLeast"/>
        </w:trPr>
        <w:tc>
          <w:tcPr>
            <w:tcW w:w="1843" w:type="dxa"/>
            <w:gridSpan w:val="2"/>
            <w:tcBorders>
              <w:top w:val="single" w:color="auto" w:sz="8" w:space="0"/>
              <w:left w:val="single" w:color="auto" w:sz="8" w:space="0"/>
              <w:bottom w:val="single" w:color="auto" w:sz="8" w:space="0"/>
              <w:right w:val="single" w:color="000000" w:sz="8" w:space="0"/>
            </w:tcBorders>
            <w:shd w:val="clear" w:color="auto" w:fill="auto"/>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听课教室</w:t>
            </w:r>
          </w:p>
        </w:tc>
        <w:tc>
          <w:tcPr>
            <w:tcW w:w="1482"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1391"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应到学生数</w:t>
            </w:r>
          </w:p>
        </w:tc>
        <w:tc>
          <w:tcPr>
            <w:tcW w:w="869" w:type="dxa"/>
            <w:gridSpan w:val="2"/>
            <w:tcBorders>
              <w:top w:val="nil"/>
              <w:left w:val="nil"/>
              <w:bottom w:val="single" w:color="auto" w:sz="8" w:space="0"/>
              <w:right w:val="single" w:color="auto" w:sz="8"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91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实到学生数</w:t>
            </w:r>
          </w:p>
        </w:tc>
        <w:tc>
          <w:tcPr>
            <w:tcW w:w="658" w:type="dxa"/>
            <w:gridSpan w:val="2"/>
            <w:tcBorders>
              <w:top w:val="nil"/>
              <w:left w:val="nil"/>
              <w:bottom w:val="single" w:color="auto" w:sz="8" w:space="0"/>
              <w:right w:val="single" w:color="auto" w:sz="8"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49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961" w:type="dxa"/>
            <w:gridSpan w:val="2"/>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迟到早退数</w:t>
            </w:r>
          </w:p>
        </w:tc>
        <w:tc>
          <w:tcPr>
            <w:tcW w:w="46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935"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930" w:hRule="atLeast"/>
        </w:trPr>
        <w:tc>
          <w:tcPr>
            <w:tcW w:w="1843" w:type="dxa"/>
            <w:gridSpan w:val="2"/>
            <w:tcBorders>
              <w:top w:val="single" w:color="auto" w:sz="8" w:space="0"/>
              <w:left w:val="single" w:color="auto" w:sz="8" w:space="0"/>
              <w:bottom w:val="single" w:color="auto" w:sz="8" w:space="0"/>
              <w:right w:val="single" w:color="000000" w:sz="8" w:space="0"/>
            </w:tcBorders>
            <w:shd w:val="clear" w:color="auto" w:fill="auto"/>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是否带有如下教学基本文件，请打"√"</w:t>
            </w:r>
          </w:p>
        </w:tc>
        <w:tc>
          <w:tcPr>
            <w:tcW w:w="8177" w:type="dxa"/>
            <w:gridSpan w:val="12"/>
            <w:tcBorders>
              <w:top w:val="single" w:color="auto" w:sz="8" w:space="0"/>
              <w:left w:val="nil"/>
              <w:bottom w:val="single" w:color="auto" w:sz="8" w:space="0"/>
              <w:right w:val="single" w:color="auto" w:sz="8" w:space="0"/>
            </w:tcBorders>
            <w:shd w:val="clear" w:color="auto" w:fill="auto"/>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课程大纲□</w:t>
            </w:r>
            <w:r>
              <w:rPr>
                <w:rFonts w:ascii="Wingdings" w:hAnsi="Wingdings" w:eastAsia="宋体" w:cs="宋体"/>
                <w:color w:val="000000"/>
                <w:kern w:val="0"/>
                <w:sz w:val="22"/>
              </w:rPr>
              <w:t></w:t>
            </w:r>
            <w:r>
              <w:rPr>
                <w:rFonts w:hint="eastAsia" w:ascii="宋体" w:hAnsi="宋体" w:eastAsia="宋体" w:cs="宋体"/>
                <w:color w:val="000000"/>
                <w:kern w:val="0"/>
                <w:sz w:val="22"/>
              </w:rPr>
              <w:t xml:space="preserve"> 授课计划□</w:t>
            </w:r>
            <w:r>
              <w:rPr>
                <w:rFonts w:ascii="Wingdings" w:hAnsi="Wingdings" w:eastAsia="宋体" w:cs="宋体"/>
                <w:color w:val="000000"/>
                <w:kern w:val="0"/>
                <w:sz w:val="22"/>
              </w:rPr>
              <w:t></w:t>
            </w:r>
            <w:r>
              <w:rPr>
                <w:rFonts w:hint="eastAsia" w:ascii="宋体" w:hAnsi="宋体" w:eastAsia="宋体" w:cs="宋体"/>
                <w:color w:val="000000"/>
                <w:kern w:val="0"/>
                <w:sz w:val="22"/>
              </w:rPr>
              <w:t xml:space="preserve"> 教案□</w:t>
            </w:r>
            <w:r>
              <w:rPr>
                <w:rFonts w:ascii="Wingdings" w:hAnsi="Wingdings" w:eastAsia="宋体" w:cs="宋体"/>
                <w:color w:val="000000"/>
                <w:kern w:val="0"/>
                <w:sz w:val="22"/>
              </w:rPr>
              <w:t></w:t>
            </w:r>
            <w:r>
              <w:rPr>
                <w:rFonts w:hint="eastAsia" w:ascii="宋体" w:hAnsi="宋体" w:eastAsia="宋体" w:cs="宋体"/>
                <w:color w:val="000000"/>
                <w:kern w:val="0"/>
                <w:sz w:val="22"/>
              </w:rPr>
              <w:t>讲稿□</w:t>
            </w:r>
            <w:r>
              <w:rPr>
                <w:rFonts w:ascii="Wingdings" w:hAnsi="Wingdings" w:eastAsia="宋体" w:cs="宋体"/>
                <w:color w:val="000000"/>
                <w:kern w:val="0"/>
                <w:sz w:val="22"/>
              </w:rPr>
              <w:t></w:t>
            </w:r>
            <w:r>
              <w:rPr>
                <w:rFonts w:hint="eastAsia" w:ascii="宋体" w:hAnsi="宋体" w:eastAsia="宋体" w:cs="宋体"/>
                <w:color w:val="000000"/>
                <w:kern w:val="0"/>
                <w:sz w:val="22"/>
              </w:rPr>
              <w:t>学生名册□</w:t>
            </w:r>
            <w:r>
              <w:rPr>
                <w:rFonts w:ascii="Wingdings" w:hAnsi="Wingdings" w:eastAsia="宋体" w:cs="宋体"/>
                <w:color w:val="000000"/>
                <w:kern w:val="0"/>
                <w:sz w:val="22"/>
              </w:rPr>
              <w:t></w:t>
            </w:r>
            <w:r>
              <w:rPr>
                <w:rFonts w:hint="eastAsia" w:ascii="宋体" w:hAnsi="宋体" w:eastAsia="宋体" w:cs="宋体"/>
                <w:color w:val="000000"/>
                <w:kern w:val="0"/>
                <w:sz w:val="22"/>
              </w:rPr>
              <w:t>教材□</w:t>
            </w:r>
          </w:p>
        </w:tc>
      </w:tr>
      <w:tr>
        <w:tblPrEx>
          <w:tblCellMar>
            <w:top w:w="0" w:type="dxa"/>
            <w:left w:w="108" w:type="dxa"/>
            <w:bottom w:w="0" w:type="dxa"/>
            <w:right w:w="108" w:type="dxa"/>
          </w:tblCellMar>
        </w:tblPrEx>
        <w:trPr>
          <w:trHeight w:val="402" w:hRule="atLeast"/>
        </w:trPr>
        <w:tc>
          <w:tcPr>
            <w:tcW w:w="709"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序号</w:t>
            </w:r>
          </w:p>
        </w:tc>
        <w:tc>
          <w:tcPr>
            <w:tcW w:w="113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评价项目</w:t>
            </w:r>
          </w:p>
        </w:tc>
        <w:tc>
          <w:tcPr>
            <w:tcW w:w="5814" w:type="dxa"/>
            <w:gridSpan w:val="8"/>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评价指标</w:t>
            </w:r>
          </w:p>
        </w:tc>
        <w:tc>
          <w:tcPr>
            <w:tcW w:w="1428" w:type="dxa"/>
            <w:gridSpan w:val="3"/>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指标分数</w:t>
            </w:r>
          </w:p>
        </w:tc>
        <w:tc>
          <w:tcPr>
            <w:tcW w:w="935"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得分</w:t>
            </w:r>
          </w:p>
        </w:tc>
      </w:tr>
      <w:tr>
        <w:tblPrEx>
          <w:tblCellMar>
            <w:top w:w="0" w:type="dxa"/>
            <w:left w:w="108" w:type="dxa"/>
            <w:bottom w:w="0" w:type="dxa"/>
            <w:right w:w="108" w:type="dxa"/>
          </w:tblCellMar>
        </w:tblPrEx>
        <w:trPr>
          <w:trHeight w:val="642" w:hRule="atLeast"/>
        </w:trPr>
        <w:tc>
          <w:tcPr>
            <w:tcW w:w="709"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1134"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教学规范</w:t>
            </w:r>
          </w:p>
        </w:tc>
        <w:tc>
          <w:tcPr>
            <w:tcW w:w="5814" w:type="dxa"/>
            <w:gridSpan w:val="8"/>
            <w:tcBorders>
              <w:top w:val="single" w:color="auto" w:sz="8" w:space="0"/>
              <w:left w:val="nil"/>
              <w:bottom w:val="single" w:color="auto" w:sz="8" w:space="0"/>
              <w:right w:val="single" w:color="000000" w:sz="8"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教学理念体现立德树人思想，教师言行得当、精神饱满，能够以积极正面的教学态度影响学生。</w:t>
            </w:r>
          </w:p>
        </w:tc>
        <w:tc>
          <w:tcPr>
            <w:tcW w:w="1428" w:type="dxa"/>
            <w:gridSpan w:val="3"/>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w:t>
            </w:r>
          </w:p>
        </w:tc>
        <w:tc>
          <w:tcPr>
            <w:tcW w:w="935"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442" w:hRule="atLeast"/>
        </w:trPr>
        <w:tc>
          <w:tcPr>
            <w:tcW w:w="709"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1134"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eastAsia="宋体" w:cs="宋体"/>
                <w:b/>
                <w:bCs/>
                <w:color w:val="000000"/>
                <w:kern w:val="0"/>
                <w:sz w:val="22"/>
              </w:rPr>
            </w:pPr>
          </w:p>
        </w:tc>
        <w:tc>
          <w:tcPr>
            <w:tcW w:w="5814" w:type="dxa"/>
            <w:gridSpan w:val="8"/>
            <w:tcBorders>
              <w:top w:val="single" w:color="auto" w:sz="8" w:space="0"/>
              <w:left w:val="nil"/>
              <w:bottom w:val="single" w:color="auto" w:sz="8" w:space="0"/>
              <w:right w:val="single" w:color="000000" w:sz="8"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遵守教学秩序，教学准备充分。</w:t>
            </w:r>
          </w:p>
        </w:tc>
        <w:tc>
          <w:tcPr>
            <w:tcW w:w="1428" w:type="dxa"/>
            <w:gridSpan w:val="3"/>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w:t>
            </w:r>
          </w:p>
        </w:tc>
        <w:tc>
          <w:tcPr>
            <w:tcW w:w="935"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642" w:hRule="atLeast"/>
        </w:trPr>
        <w:tc>
          <w:tcPr>
            <w:tcW w:w="709"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w:t>
            </w:r>
          </w:p>
        </w:tc>
        <w:tc>
          <w:tcPr>
            <w:tcW w:w="1134"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教学内容</w:t>
            </w:r>
          </w:p>
        </w:tc>
        <w:tc>
          <w:tcPr>
            <w:tcW w:w="5814" w:type="dxa"/>
            <w:gridSpan w:val="8"/>
            <w:tcBorders>
              <w:top w:val="single" w:color="auto" w:sz="8" w:space="0"/>
              <w:left w:val="nil"/>
              <w:bottom w:val="single" w:color="auto" w:sz="8" w:space="0"/>
              <w:right w:val="single" w:color="000000" w:sz="8"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教学内容充实，有一定的深度、广度；善于挖掘思政元素，将价值引领、知识传授、能力培养融为一体。</w:t>
            </w:r>
          </w:p>
        </w:tc>
        <w:tc>
          <w:tcPr>
            <w:tcW w:w="1428" w:type="dxa"/>
            <w:gridSpan w:val="3"/>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w:t>
            </w:r>
          </w:p>
        </w:tc>
        <w:tc>
          <w:tcPr>
            <w:tcW w:w="935"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642" w:hRule="atLeast"/>
        </w:trPr>
        <w:tc>
          <w:tcPr>
            <w:tcW w:w="709"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w:t>
            </w:r>
          </w:p>
        </w:tc>
        <w:tc>
          <w:tcPr>
            <w:tcW w:w="1134"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eastAsia="宋体" w:cs="宋体"/>
                <w:b/>
                <w:bCs/>
                <w:color w:val="000000"/>
                <w:kern w:val="0"/>
                <w:sz w:val="22"/>
              </w:rPr>
            </w:pPr>
          </w:p>
        </w:tc>
        <w:tc>
          <w:tcPr>
            <w:tcW w:w="5814" w:type="dxa"/>
            <w:gridSpan w:val="8"/>
            <w:tcBorders>
              <w:top w:val="single" w:color="auto" w:sz="8" w:space="0"/>
              <w:left w:val="nil"/>
              <w:bottom w:val="single" w:color="auto" w:sz="8" w:space="0"/>
              <w:right w:val="single" w:color="000000" w:sz="8"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教学内容纳入学科、实践和社会的新进展、新经验和新热点，体现科学性、时代性、前沿性。</w:t>
            </w:r>
          </w:p>
        </w:tc>
        <w:tc>
          <w:tcPr>
            <w:tcW w:w="1428" w:type="dxa"/>
            <w:gridSpan w:val="3"/>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w:t>
            </w:r>
          </w:p>
        </w:tc>
        <w:tc>
          <w:tcPr>
            <w:tcW w:w="935"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496" w:hRule="atLeast"/>
        </w:trPr>
        <w:tc>
          <w:tcPr>
            <w:tcW w:w="709"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c>
          <w:tcPr>
            <w:tcW w:w="1134"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教学组织</w:t>
            </w:r>
          </w:p>
        </w:tc>
        <w:tc>
          <w:tcPr>
            <w:tcW w:w="5814" w:type="dxa"/>
            <w:gridSpan w:val="8"/>
            <w:tcBorders>
              <w:top w:val="single" w:color="auto" w:sz="8" w:space="0"/>
              <w:left w:val="nil"/>
              <w:bottom w:val="single" w:color="auto" w:sz="8" w:space="0"/>
              <w:right w:val="single" w:color="000000" w:sz="8"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围绕教学目标设计课堂教学，合理利用教学资源。</w:t>
            </w:r>
          </w:p>
        </w:tc>
        <w:tc>
          <w:tcPr>
            <w:tcW w:w="1428" w:type="dxa"/>
            <w:gridSpan w:val="3"/>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w:t>
            </w:r>
          </w:p>
        </w:tc>
        <w:tc>
          <w:tcPr>
            <w:tcW w:w="935"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404" w:hRule="atLeast"/>
        </w:trPr>
        <w:tc>
          <w:tcPr>
            <w:tcW w:w="709"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w:t>
            </w:r>
          </w:p>
        </w:tc>
        <w:tc>
          <w:tcPr>
            <w:tcW w:w="1134"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eastAsia="宋体" w:cs="宋体"/>
                <w:b/>
                <w:bCs/>
                <w:color w:val="000000"/>
                <w:kern w:val="0"/>
                <w:sz w:val="22"/>
              </w:rPr>
            </w:pPr>
          </w:p>
        </w:tc>
        <w:tc>
          <w:tcPr>
            <w:tcW w:w="5814" w:type="dxa"/>
            <w:gridSpan w:val="8"/>
            <w:tcBorders>
              <w:top w:val="single" w:color="auto" w:sz="8" w:space="0"/>
              <w:left w:val="nil"/>
              <w:bottom w:val="single" w:color="auto" w:sz="8" w:space="0"/>
              <w:right w:val="single" w:color="000000" w:sz="8"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科学安排课堂时间，教学组织有序，进度合理。</w:t>
            </w:r>
          </w:p>
        </w:tc>
        <w:tc>
          <w:tcPr>
            <w:tcW w:w="1428" w:type="dxa"/>
            <w:gridSpan w:val="3"/>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w:t>
            </w:r>
          </w:p>
        </w:tc>
        <w:tc>
          <w:tcPr>
            <w:tcW w:w="935"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411" w:hRule="atLeast"/>
        </w:trPr>
        <w:tc>
          <w:tcPr>
            <w:tcW w:w="709"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w:t>
            </w:r>
          </w:p>
        </w:tc>
        <w:tc>
          <w:tcPr>
            <w:tcW w:w="1134"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eastAsia="宋体" w:cs="宋体"/>
                <w:b/>
                <w:bCs/>
                <w:color w:val="000000"/>
                <w:kern w:val="0"/>
                <w:sz w:val="22"/>
              </w:rPr>
            </w:pPr>
          </w:p>
        </w:tc>
        <w:tc>
          <w:tcPr>
            <w:tcW w:w="5814" w:type="dxa"/>
            <w:gridSpan w:val="8"/>
            <w:tcBorders>
              <w:top w:val="single" w:color="auto" w:sz="8" w:space="0"/>
              <w:left w:val="nil"/>
              <w:bottom w:val="single" w:color="auto" w:sz="8" w:space="0"/>
              <w:right w:val="single" w:color="000000" w:sz="8"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授课条理清晰，重点和难点突出，阐述准确。</w:t>
            </w:r>
          </w:p>
        </w:tc>
        <w:tc>
          <w:tcPr>
            <w:tcW w:w="1428" w:type="dxa"/>
            <w:gridSpan w:val="3"/>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w:t>
            </w:r>
          </w:p>
        </w:tc>
        <w:tc>
          <w:tcPr>
            <w:tcW w:w="935"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642" w:hRule="atLeast"/>
        </w:trPr>
        <w:tc>
          <w:tcPr>
            <w:tcW w:w="709"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w:t>
            </w:r>
          </w:p>
        </w:tc>
        <w:tc>
          <w:tcPr>
            <w:tcW w:w="1134"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教学效果</w:t>
            </w:r>
          </w:p>
        </w:tc>
        <w:tc>
          <w:tcPr>
            <w:tcW w:w="5814" w:type="dxa"/>
            <w:gridSpan w:val="8"/>
            <w:tcBorders>
              <w:top w:val="single" w:color="auto" w:sz="8" w:space="0"/>
              <w:left w:val="nil"/>
              <w:bottom w:val="single" w:color="auto" w:sz="8" w:space="0"/>
              <w:right w:val="single" w:color="000000" w:sz="8"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课堂讲授富有吸引力，师生互动、生生互动活跃，能给予学生思考、联想、创新的启迪。</w:t>
            </w:r>
          </w:p>
        </w:tc>
        <w:tc>
          <w:tcPr>
            <w:tcW w:w="1428" w:type="dxa"/>
            <w:gridSpan w:val="3"/>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w:t>
            </w:r>
          </w:p>
        </w:tc>
        <w:tc>
          <w:tcPr>
            <w:tcW w:w="935"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454" w:hRule="atLeast"/>
        </w:trPr>
        <w:tc>
          <w:tcPr>
            <w:tcW w:w="709"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1134" w:type="dxa"/>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eastAsia="宋体" w:cs="宋体"/>
                <w:b/>
                <w:bCs/>
                <w:color w:val="000000"/>
                <w:kern w:val="0"/>
                <w:sz w:val="22"/>
              </w:rPr>
            </w:pPr>
          </w:p>
        </w:tc>
        <w:tc>
          <w:tcPr>
            <w:tcW w:w="5814" w:type="dxa"/>
            <w:gridSpan w:val="8"/>
            <w:tcBorders>
              <w:top w:val="single" w:color="auto" w:sz="8" w:space="0"/>
              <w:left w:val="nil"/>
              <w:bottom w:val="single" w:color="auto" w:sz="8" w:space="0"/>
              <w:right w:val="single" w:color="000000" w:sz="8"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学生课堂专注度较高，对于教师的引导能够做出积极的响应。</w:t>
            </w:r>
          </w:p>
        </w:tc>
        <w:tc>
          <w:tcPr>
            <w:tcW w:w="1428" w:type="dxa"/>
            <w:gridSpan w:val="3"/>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w:t>
            </w:r>
          </w:p>
        </w:tc>
        <w:tc>
          <w:tcPr>
            <w:tcW w:w="935"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750" w:hRule="atLeast"/>
        </w:trPr>
        <w:tc>
          <w:tcPr>
            <w:tcW w:w="709"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w:t>
            </w:r>
          </w:p>
        </w:tc>
        <w:tc>
          <w:tcPr>
            <w:tcW w:w="1134"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教学特色</w:t>
            </w:r>
          </w:p>
        </w:tc>
        <w:tc>
          <w:tcPr>
            <w:tcW w:w="5814" w:type="dxa"/>
            <w:gridSpan w:val="8"/>
            <w:tcBorders>
              <w:top w:val="single" w:color="auto" w:sz="8" w:space="0"/>
              <w:left w:val="nil"/>
              <w:bottom w:val="single" w:color="auto" w:sz="8" w:space="0"/>
              <w:right w:val="single" w:color="000000" w:sz="8" w:space="0"/>
            </w:tcBorders>
            <w:shd w:val="clear" w:color="auto" w:fill="auto"/>
            <w:vAlign w:val="center"/>
          </w:tcPr>
          <w:p>
            <w:pPr>
              <w:widowControl/>
              <w:jc w:val="left"/>
              <w:rPr>
                <w:rFonts w:ascii="宋体" w:hAnsi="宋体" w:eastAsia="宋体" w:cs="宋体"/>
                <w:kern w:val="0"/>
                <w:sz w:val="22"/>
              </w:rPr>
            </w:pPr>
            <w:r>
              <w:rPr>
                <w:rFonts w:hint="eastAsia" w:ascii="宋体" w:hAnsi="宋体" w:eastAsia="宋体" w:cs="宋体"/>
                <w:kern w:val="0"/>
                <w:sz w:val="22"/>
              </w:rPr>
              <w:t>体现应用型本科高校办学定位，注重培养ASciT(爱科技）关键能力；教学风格突出、教学模式新颖、效果好，具有借鉴和推广的价值。</w:t>
            </w:r>
          </w:p>
        </w:tc>
        <w:tc>
          <w:tcPr>
            <w:tcW w:w="1428" w:type="dxa"/>
            <w:gridSpan w:val="3"/>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w:t>
            </w:r>
          </w:p>
        </w:tc>
        <w:tc>
          <w:tcPr>
            <w:tcW w:w="935"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450" w:hRule="atLeast"/>
        </w:trPr>
        <w:tc>
          <w:tcPr>
            <w:tcW w:w="10020" w:type="dxa"/>
            <w:gridSpan w:val="14"/>
            <w:tcBorders>
              <w:top w:val="single" w:color="auto" w:sz="8" w:space="0"/>
              <w:left w:val="single" w:color="auto" w:sz="8" w:space="0"/>
              <w:bottom w:val="nil"/>
              <w:right w:val="single" w:color="000000" w:sz="8" w:space="0"/>
            </w:tcBorders>
            <w:shd w:val="clear" w:color="auto" w:fill="auto"/>
          </w:tcPr>
          <w:p>
            <w:pPr>
              <w:widowControl/>
              <w:jc w:val="left"/>
              <w:rPr>
                <w:rFonts w:ascii="宋体" w:hAnsi="宋体" w:eastAsia="宋体" w:cs="宋体"/>
                <w:b/>
                <w:bCs/>
                <w:color w:val="000000"/>
                <w:kern w:val="0"/>
                <w:sz w:val="22"/>
              </w:rPr>
            </w:pPr>
            <w:r>
              <w:rPr>
                <w:rFonts w:hint="eastAsia" w:ascii="宋体" w:hAnsi="宋体" w:eastAsia="宋体" w:cs="宋体"/>
                <w:b/>
                <w:bCs/>
                <w:color w:val="000000"/>
                <w:kern w:val="0"/>
                <w:sz w:val="22"/>
              </w:rPr>
              <w:t>总体评价：</w:t>
            </w:r>
          </w:p>
        </w:tc>
      </w:tr>
      <w:tr>
        <w:tblPrEx>
          <w:tblCellMar>
            <w:top w:w="0" w:type="dxa"/>
            <w:left w:w="108" w:type="dxa"/>
            <w:bottom w:w="0" w:type="dxa"/>
            <w:right w:w="108" w:type="dxa"/>
          </w:tblCellMar>
        </w:tblPrEx>
        <w:trPr>
          <w:trHeight w:val="1006" w:hRule="atLeast"/>
        </w:trPr>
        <w:tc>
          <w:tcPr>
            <w:tcW w:w="10020" w:type="dxa"/>
            <w:gridSpan w:val="14"/>
            <w:tcBorders>
              <w:top w:val="nil"/>
              <w:left w:val="single" w:color="auto" w:sz="8" w:space="0"/>
              <w:bottom w:val="single" w:color="auto" w:sz="4" w:space="0"/>
              <w:right w:val="single" w:color="000000" w:sz="8" w:space="0"/>
            </w:tcBorders>
            <w:shd w:val="clear" w:color="auto" w:fill="auto"/>
          </w:tcPr>
          <w:p>
            <w:pPr>
              <w:widowControl/>
              <w:jc w:val="left"/>
              <w:rPr>
                <w:rFonts w:ascii="宋体" w:hAnsi="宋体" w:eastAsia="宋体" w:cs="宋体"/>
                <w:color w:val="000000"/>
                <w:kern w:val="0"/>
                <w:sz w:val="22"/>
              </w:rPr>
            </w:pPr>
          </w:p>
        </w:tc>
      </w:tr>
      <w:tr>
        <w:tblPrEx>
          <w:tblCellMar>
            <w:top w:w="0" w:type="dxa"/>
            <w:left w:w="108" w:type="dxa"/>
            <w:bottom w:w="0" w:type="dxa"/>
            <w:right w:w="108" w:type="dxa"/>
          </w:tblCellMar>
        </w:tblPrEx>
        <w:trPr>
          <w:trHeight w:val="402" w:hRule="atLeast"/>
        </w:trPr>
        <w:tc>
          <w:tcPr>
            <w:tcW w:w="5519" w:type="dxa"/>
            <w:gridSpan w:val="5"/>
            <w:tcBorders>
              <w:top w:val="single" w:color="auto" w:sz="4" w:space="0"/>
              <w:left w:val="single" w:color="auto" w:sz="4" w:space="0"/>
              <w:bottom w:val="single" w:color="auto" w:sz="4" w:space="0"/>
            </w:tcBorders>
            <w:shd w:val="clear" w:color="auto" w:fill="auto"/>
            <w:vAlign w:val="center"/>
          </w:tcPr>
          <w:p>
            <w:pPr>
              <w:widowControl/>
              <w:jc w:val="right"/>
              <w:rPr>
                <w:rFonts w:ascii="宋体" w:hAnsi="宋体" w:eastAsia="宋体" w:cs="宋体"/>
                <w:b/>
                <w:bCs/>
                <w:color w:val="000000"/>
                <w:kern w:val="0"/>
                <w:sz w:val="22"/>
              </w:rPr>
            </w:pPr>
            <w:r>
              <w:rPr>
                <w:rFonts w:hint="eastAsia" w:ascii="宋体" w:hAnsi="宋体" w:eastAsia="宋体" w:cs="宋体"/>
                <w:b/>
                <w:bCs/>
                <w:color w:val="000000"/>
                <w:kern w:val="0"/>
                <w:sz w:val="22"/>
              </w:rPr>
              <w:t>总分：</w:t>
            </w:r>
          </w:p>
        </w:tc>
        <w:tc>
          <w:tcPr>
            <w:tcW w:w="1417" w:type="dxa"/>
            <w:gridSpan w:val="3"/>
            <w:tcBorders>
              <w:top w:val="single" w:color="auto" w:sz="4" w:space="0"/>
              <w:bottom w:val="single" w:color="auto" w:sz="4" w:space="0"/>
            </w:tcBorders>
            <w:shd w:val="clear" w:color="auto" w:fill="auto"/>
            <w:vAlign w:val="center"/>
          </w:tcPr>
          <w:p>
            <w:pPr>
              <w:widowControl/>
              <w:jc w:val="right"/>
              <w:rPr>
                <w:rFonts w:ascii="宋体" w:hAnsi="宋体" w:eastAsia="宋体" w:cs="宋体"/>
                <w:b/>
                <w:bCs/>
                <w:color w:val="000000"/>
                <w:kern w:val="0"/>
                <w:sz w:val="22"/>
              </w:rPr>
            </w:pPr>
          </w:p>
        </w:tc>
        <w:tc>
          <w:tcPr>
            <w:tcW w:w="1559" w:type="dxa"/>
            <w:gridSpan w:val="3"/>
            <w:tcBorders>
              <w:top w:val="single" w:color="auto" w:sz="4" w:space="0"/>
              <w:bottom w:val="single" w:color="auto" w:sz="4" w:space="0"/>
            </w:tcBorders>
            <w:shd w:val="clear" w:color="auto" w:fill="auto"/>
            <w:vAlign w:val="center"/>
          </w:tcPr>
          <w:p>
            <w:pPr>
              <w:widowControl/>
              <w:jc w:val="right"/>
              <w:rPr>
                <w:rFonts w:ascii="宋体" w:hAnsi="宋体" w:eastAsia="宋体" w:cs="宋体"/>
                <w:b/>
                <w:bCs/>
                <w:color w:val="000000"/>
                <w:kern w:val="0"/>
                <w:sz w:val="22"/>
              </w:rPr>
            </w:pPr>
            <w:r>
              <w:rPr>
                <w:rFonts w:hint="eastAsia" w:ascii="宋体" w:hAnsi="宋体" w:eastAsia="宋体" w:cs="宋体"/>
                <w:b/>
                <w:bCs/>
                <w:color w:val="000000"/>
                <w:kern w:val="0"/>
                <w:sz w:val="22"/>
              </w:rPr>
              <w:t>等级：</w:t>
            </w:r>
          </w:p>
        </w:tc>
        <w:tc>
          <w:tcPr>
            <w:tcW w:w="1525" w:type="dxa"/>
            <w:gridSpan w:val="3"/>
            <w:tcBorders>
              <w:top w:val="single" w:color="auto" w:sz="4" w:space="0"/>
              <w:bottom w:val="single" w:color="auto" w:sz="4" w:space="0"/>
              <w:right w:val="single" w:color="auto" w:sz="4" w:space="0"/>
            </w:tcBorders>
            <w:shd w:val="clear" w:color="auto" w:fill="auto"/>
            <w:vAlign w:val="center"/>
          </w:tcPr>
          <w:p>
            <w:pPr>
              <w:widowControl/>
              <w:jc w:val="right"/>
              <w:rPr>
                <w:rFonts w:ascii="宋体" w:hAnsi="宋体" w:eastAsia="宋体" w:cs="宋体"/>
                <w:b/>
                <w:bCs/>
                <w:color w:val="000000"/>
                <w:kern w:val="0"/>
                <w:sz w:val="22"/>
              </w:rPr>
            </w:pPr>
          </w:p>
        </w:tc>
      </w:tr>
      <w:tr>
        <w:tblPrEx>
          <w:tblCellMar>
            <w:top w:w="0" w:type="dxa"/>
            <w:left w:w="108" w:type="dxa"/>
            <w:bottom w:w="0" w:type="dxa"/>
            <w:right w:w="108" w:type="dxa"/>
          </w:tblCellMar>
        </w:tblPrEx>
        <w:trPr>
          <w:trHeight w:val="360" w:hRule="atLeast"/>
        </w:trPr>
        <w:tc>
          <w:tcPr>
            <w:tcW w:w="10020" w:type="dxa"/>
            <w:gridSpan w:val="14"/>
            <w:shd w:val="clear" w:color="auto" w:fill="auto"/>
            <w:vAlign w:val="center"/>
          </w:tcPr>
          <w:p>
            <w:pPr>
              <w:widowControl/>
              <w:ind w:firstLine="880" w:firstLineChars="400"/>
              <w:jc w:val="left"/>
              <w:rPr>
                <w:rFonts w:ascii="宋体" w:hAnsi="宋体" w:eastAsia="宋体" w:cs="宋体"/>
                <w:color w:val="000000"/>
                <w:kern w:val="0"/>
                <w:sz w:val="22"/>
              </w:rPr>
            </w:pPr>
            <w:r>
              <w:rPr>
                <w:rFonts w:hint="eastAsia" w:ascii="宋体" w:hAnsi="宋体" w:eastAsia="宋体" w:cs="宋体"/>
                <w:color w:val="000000"/>
                <w:kern w:val="0"/>
                <w:sz w:val="22"/>
              </w:rPr>
              <w:t>注：总体评价的等级：</w:t>
            </w:r>
            <w:r>
              <w:rPr>
                <w:rFonts w:ascii="Times New Roman" w:hAnsi="Times New Roman" w:eastAsia="宋体" w:cs="Times New Roman"/>
                <w:color w:val="000000"/>
                <w:kern w:val="0"/>
                <w:sz w:val="22"/>
              </w:rPr>
              <w:t>A</w:t>
            </w:r>
            <w:r>
              <w:rPr>
                <w:rFonts w:hint="eastAsia" w:ascii="宋体" w:hAnsi="宋体" w:eastAsia="宋体" w:cs="宋体"/>
                <w:color w:val="000000"/>
                <w:kern w:val="0"/>
                <w:sz w:val="22"/>
              </w:rPr>
              <w:t>：</w:t>
            </w:r>
            <w:r>
              <w:rPr>
                <w:rFonts w:ascii="Times New Roman" w:hAnsi="Times New Roman" w:eastAsia="宋体" w:cs="Times New Roman"/>
                <w:color w:val="000000"/>
                <w:kern w:val="0"/>
                <w:sz w:val="22"/>
              </w:rPr>
              <w:t>88</w:t>
            </w:r>
            <w:r>
              <w:rPr>
                <w:rFonts w:hint="eastAsia" w:ascii="宋体" w:hAnsi="宋体" w:eastAsia="宋体" w:cs="宋体"/>
                <w:color w:val="000000"/>
                <w:kern w:val="0"/>
                <w:sz w:val="22"/>
              </w:rPr>
              <w:t>～</w:t>
            </w:r>
            <w:r>
              <w:rPr>
                <w:rFonts w:ascii="Times New Roman" w:hAnsi="Times New Roman" w:eastAsia="宋体" w:cs="Times New Roman"/>
                <w:color w:val="000000"/>
                <w:kern w:val="0"/>
                <w:sz w:val="22"/>
              </w:rPr>
              <w:t>100</w:t>
            </w:r>
            <w:r>
              <w:rPr>
                <w:rFonts w:hint="eastAsia" w:ascii="宋体" w:hAnsi="宋体" w:eastAsia="宋体" w:cs="宋体"/>
                <w:color w:val="000000"/>
                <w:kern w:val="0"/>
                <w:sz w:val="22"/>
              </w:rPr>
              <w:t>，</w:t>
            </w:r>
            <w:r>
              <w:rPr>
                <w:rFonts w:ascii="Times New Roman" w:hAnsi="Times New Roman" w:eastAsia="宋体" w:cs="Times New Roman"/>
                <w:color w:val="000000"/>
                <w:kern w:val="0"/>
                <w:sz w:val="22"/>
              </w:rPr>
              <w:t>B</w:t>
            </w:r>
            <w:r>
              <w:rPr>
                <w:rFonts w:hint="eastAsia" w:ascii="宋体" w:hAnsi="宋体" w:eastAsia="宋体" w:cs="宋体"/>
                <w:color w:val="000000"/>
                <w:kern w:val="0"/>
                <w:sz w:val="22"/>
              </w:rPr>
              <w:t>：</w:t>
            </w:r>
            <w:r>
              <w:rPr>
                <w:rFonts w:ascii="Times New Roman" w:hAnsi="Times New Roman" w:eastAsia="宋体" w:cs="Times New Roman"/>
                <w:color w:val="000000"/>
                <w:kern w:val="0"/>
                <w:sz w:val="22"/>
              </w:rPr>
              <w:t>76</w:t>
            </w:r>
            <w:r>
              <w:rPr>
                <w:rFonts w:hint="eastAsia" w:ascii="宋体" w:hAnsi="宋体" w:eastAsia="宋体" w:cs="宋体"/>
                <w:color w:val="000000"/>
                <w:kern w:val="0"/>
                <w:sz w:val="22"/>
              </w:rPr>
              <w:t>～</w:t>
            </w:r>
            <w:r>
              <w:rPr>
                <w:rFonts w:ascii="Times New Roman" w:hAnsi="Times New Roman" w:eastAsia="宋体" w:cs="Times New Roman"/>
                <w:color w:val="000000"/>
                <w:kern w:val="0"/>
                <w:sz w:val="22"/>
              </w:rPr>
              <w:t>87</w:t>
            </w:r>
            <w:r>
              <w:rPr>
                <w:rFonts w:hint="eastAsia" w:ascii="宋体" w:hAnsi="宋体" w:eastAsia="宋体" w:cs="宋体"/>
                <w:color w:val="000000"/>
                <w:kern w:val="0"/>
                <w:sz w:val="22"/>
              </w:rPr>
              <w:t>，</w:t>
            </w:r>
            <w:r>
              <w:rPr>
                <w:rFonts w:ascii="Times New Roman" w:hAnsi="Times New Roman" w:eastAsia="宋体" w:cs="Times New Roman"/>
                <w:color w:val="000000"/>
                <w:kern w:val="0"/>
                <w:sz w:val="22"/>
              </w:rPr>
              <w:t>C</w:t>
            </w:r>
            <w:r>
              <w:rPr>
                <w:rFonts w:hint="eastAsia" w:ascii="宋体" w:hAnsi="宋体" w:eastAsia="宋体" w:cs="宋体"/>
                <w:color w:val="000000"/>
                <w:kern w:val="0"/>
                <w:sz w:val="22"/>
              </w:rPr>
              <w:t>：</w:t>
            </w:r>
            <w:r>
              <w:rPr>
                <w:rFonts w:ascii="Times New Roman" w:hAnsi="Times New Roman" w:eastAsia="宋体" w:cs="Times New Roman"/>
                <w:color w:val="000000"/>
                <w:kern w:val="0"/>
                <w:sz w:val="22"/>
              </w:rPr>
              <w:t>60</w:t>
            </w:r>
            <w:r>
              <w:rPr>
                <w:rFonts w:hint="eastAsia" w:ascii="宋体" w:hAnsi="宋体" w:eastAsia="宋体" w:cs="宋体"/>
                <w:color w:val="000000"/>
                <w:kern w:val="0"/>
                <w:sz w:val="22"/>
              </w:rPr>
              <w:t>～</w:t>
            </w:r>
            <w:r>
              <w:rPr>
                <w:rFonts w:ascii="Times New Roman" w:hAnsi="Times New Roman" w:eastAsia="宋体" w:cs="Times New Roman"/>
                <w:color w:val="000000"/>
                <w:kern w:val="0"/>
                <w:sz w:val="22"/>
              </w:rPr>
              <w:t>75</w:t>
            </w:r>
            <w:r>
              <w:rPr>
                <w:rFonts w:hint="eastAsia" w:ascii="宋体" w:hAnsi="宋体" w:eastAsia="宋体" w:cs="宋体"/>
                <w:color w:val="000000"/>
                <w:kern w:val="0"/>
                <w:sz w:val="22"/>
              </w:rPr>
              <w:t>，</w:t>
            </w:r>
            <w:r>
              <w:rPr>
                <w:rFonts w:ascii="Times New Roman" w:hAnsi="Times New Roman" w:eastAsia="宋体" w:cs="Times New Roman"/>
                <w:color w:val="000000"/>
                <w:kern w:val="0"/>
                <w:sz w:val="22"/>
              </w:rPr>
              <w:t>D</w:t>
            </w:r>
            <w:r>
              <w:rPr>
                <w:rFonts w:hint="eastAsia" w:ascii="宋体" w:hAnsi="宋体" w:eastAsia="宋体" w:cs="宋体"/>
                <w:color w:val="000000"/>
                <w:kern w:val="0"/>
                <w:sz w:val="22"/>
              </w:rPr>
              <w:t>：低于</w:t>
            </w:r>
            <w:r>
              <w:rPr>
                <w:rFonts w:ascii="Times New Roman" w:hAnsi="Times New Roman" w:eastAsia="宋体" w:cs="Times New Roman"/>
                <w:color w:val="000000"/>
                <w:kern w:val="0"/>
                <w:sz w:val="22"/>
              </w:rPr>
              <w:t>60</w:t>
            </w:r>
          </w:p>
        </w:tc>
      </w:tr>
    </w:tbl>
    <w:p>
      <w:pPr>
        <w:spacing w:line="360" w:lineRule="auto"/>
        <w:jc w:val="center"/>
        <w:rPr>
          <w:rFonts w:ascii="宋体" w:hAnsi="宋体" w:eastAsia="宋体"/>
          <w:kern w:val="0"/>
          <w:szCs w:val="21"/>
        </w:rPr>
      </w:pPr>
      <w:r>
        <w:rPr>
          <w:rFonts w:hint="eastAsia" w:ascii="宋体" w:hAnsi="宋体" w:eastAsia="宋体"/>
          <w:kern w:val="0"/>
          <w:szCs w:val="21"/>
        </w:rPr>
        <w:t>评价人</w:t>
      </w:r>
      <w:r>
        <w:rPr>
          <w:rFonts w:hint="eastAsia" w:ascii="宋体" w:hAnsi="宋体" w:eastAsia="宋体" w:cs="宋体"/>
          <w:kern w:val="0"/>
          <w:szCs w:val="21"/>
        </w:rPr>
        <w:t>（签名）</w:t>
      </w:r>
      <w:r>
        <w:rPr>
          <w:rFonts w:hint="eastAsia" w:ascii="宋体" w:hAnsi="宋体" w:eastAsia="宋体"/>
          <w:kern w:val="0"/>
          <w:szCs w:val="21"/>
        </w:rPr>
        <w:t>：</w:t>
      </w:r>
      <w:r>
        <w:rPr>
          <w:rFonts w:ascii="宋体" w:hAnsi="宋体" w:eastAsia="宋体"/>
          <w:kern w:val="0"/>
          <w:szCs w:val="21"/>
        </w:rPr>
        <w:t xml:space="preserve">                           </w:t>
      </w:r>
      <w:r>
        <w:rPr>
          <w:rFonts w:hint="eastAsia" w:ascii="宋体" w:hAnsi="宋体" w:eastAsia="宋体"/>
          <w:kern w:val="0"/>
          <w:szCs w:val="21"/>
        </w:rPr>
        <w:t>日期：</w:t>
      </w:r>
      <w:r>
        <w:rPr>
          <w:rFonts w:hint="eastAsia" w:ascii="宋体" w:hAnsi="宋体" w:eastAsia="宋体"/>
          <w:kern w:val="0"/>
          <w:szCs w:val="21"/>
          <w:u w:val="single"/>
        </w:rPr>
        <w:t xml:space="preserve"> </w:t>
      </w:r>
      <w:r>
        <w:rPr>
          <w:rFonts w:ascii="宋体" w:hAnsi="宋体" w:eastAsia="宋体"/>
          <w:kern w:val="0"/>
          <w:szCs w:val="21"/>
          <w:u w:val="single"/>
        </w:rPr>
        <w:t xml:space="preserve"> </w:t>
      </w:r>
      <w:r>
        <w:rPr>
          <w:rFonts w:hint="eastAsia" w:ascii="宋体" w:hAnsi="宋体" w:eastAsia="宋体"/>
          <w:kern w:val="0"/>
          <w:szCs w:val="21"/>
          <w:u w:val="single"/>
        </w:rPr>
        <w:t xml:space="preserve">    </w:t>
      </w:r>
      <w:r>
        <w:rPr>
          <w:rFonts w:hint="eastAsia" w:ascii="宋体" w:hAnsi="宋体" w:eastAsia="宋体"/>
          <w:kern w:val="0"/>
          <w:szCs w:val="21"/>
        </w:rPr>
        <w:t>年</w:t>
      </w:r>
      <w:r>
        <w:rPr>
          <w:rFonts w:hint="eastAsia" w:ascii="宋体" w:hAnsi="宋体" w:eastAsia="宋体"/>
          <w:kern w:val="0"/>
          <w:szCs w:val="21"/>
          <w:u w:val="single"/>
        </w:rPr>
        <w:t xml:space="preserve"> </w:t>
      </w:r>
      <w:r>
        <w:rPr>
          <w:rFonts w:ascii="宋体" w:hAnsi="宋体" w:eastAsia="宋体"/>
          <w:kern w:val="0"/>
          <w:szCs w:val="21"/>
          <w:u w:val="single"/>
        </w:rPr>
        <w:t xml:space="preserve"> </w:t>
      </w:r>
      <w:r>
        <w:rPr>
          <w:rFonts w:hint="eastAsia" w:ascii="宋体" w:hAnsi="宋体" w:eastAsia="宋体"/>
          <w:kern w:val="0"/>
          <w:szCs w:val="21"/>
          <w:u w:val="single"/>
        </w:rPr>
        <w:t xml:space="preserve"> </w:t>
      </w:r>
      <w:r>
        <w:rPr>
          <w:rFonts w:hint="eastAsia" w:ascii="宋体" w:hAnsi="宋体" w:eastAsia="宋体"/>
          <w:kern w:val="0"/>
          <w:szCs w:val="21"/>
        </w:rPr>
        <w:t>月</w:t>
      </w:r>
      <w:r>
        <w:rPr>
          <w:rFonts w:hint="eastAsia" w:ascii="宋体" w:hAnsi="宋体" w:eastAsia="宋体"/>
          <w:kern w:val="0"/>
          <w:szCs w:val="21"/>
          <w:u w:val="single"/>
        </w:rPr>
        <w:t xml:space="preserve"> </w:t>
      </w:r>
      <w:r>
        <w:rPr>
          <w:rFonts w:ascii="宋体" w:hAnsi="宋体" w:eastAsia="宋体"/>
          <w:kern w:val="0"/>
          <w:szCs w:val="21"/>
          <w:u w:val="single"/>
        </w:rPr>
        <w:t xml:space="preserve"> </w:t>
      </w:r>
      <w:r>
        <w:rPr>
          <w:rFonts w:hint="eastAsia" w:ascii="宋体" w:hAnsi="宋体" w:eastAsia="宋体"/>
          <w:kern w:val="0"/>
          <w:szCs w:val="21"/>
          <w:u w:val="single"/>
        </w:rPr>
        <w:t xml:space="preserve"> </w:t>
      </w:r>
      <w:r>
        <w:rPr>
          <w:rFonts w:hint="eastAsia" w:ascii="宋体" w:hAnsi="宋体" w:eastAsia="宋体"/>
          <w:kern w:val="0"/>
          <w:szCs w:val="21"/>
        </w:rPr>
        <w:t>日</w:t>
      </w:r>
      <w:r>
        <w:rPr>
          <w:rFonts w:ascii="宋体" w:hAnsi="宋体" w:eastAsia="宋体"/>
          <w:kern w:val="0"/>
          <w:szCs w:val="21"/>
        </w:rPr>
        <w:t>第</w:t>
      </w:r>
      <w:r>
        <w:rPr>
          <w:rFonts w:hint="eastAsia" w:ascii="宋体" w:hAnsi="宋体" w:eastAsia="宋体"/>
          <w:kern w:val="0"/>
          <w:szCs w:val="21"/>
          <w:u w:val="single"/>
        </w:rPr>
        <w:t xml:space="preserve">     </w:t>
      </w:r>
      <w:r>
        <w:rPr>
          <w:rFonts w:hint="eastAsia" w:ascii="宋体" w:hAnsi="宋体" w:eastAsia="宋体"/>
          <w:kern w:val="0"/>
          <w:szCs w:val="21"/>
        </w:rPr>
        <w:t>节</w:t>
      </w:r>
    </w:p>
    <w:p>
      <w:pPr>
        <w:widowControl/>
        <w:jc w:val="left"/>
        <w:rPr>
          <w:rFonts w:ascii="宋体" w:hAnsi="宋体" w:eastAsia="宋体"/>
          <w:kern w:val="0"/>
          <w:szCs w:val="21"/>
        </w:rPr>
      </w:pPr>
      <w:r>
        <w:rPr>
          <w:rFonts w:ascii="宋体" w:hAnsi="宋体" w:eastAsia="宋体"/>
          <w:kern w:val="0"/>
          <w:szCs w:val="21"/>
        </w:rPr>
        <w:br w:type="page"/>
      </w:r>
    </w:p>
    <w:p>
      <w:pPr>
        <w:spacing w:line="360" w:lineRule="auto"/>
        <w:rPr>
          <w:rFonts w:asciiTheme="minorEastAsia" w:hAnsiTheme="minorEastAsia"/>
          <w:b/>
          <w:sz w:val="28"/>
          <w:szCs w:val="28"/>
        </w:rPr>
      </w:pPr>
      <w:r>
        <w:rPr>
          <w:rFonts w:hint="eastAsia" w:asciiTheme="minorEastAsia" w:hAnsiTheme="minorEastAsia"/>
          <w:b/>
          <w:sz w:val="28"/>
          <w:szCs w:val="28"/>
        </w:rPr>
        <w:t>3.上海应用技术大学本科课堂教学质量评价表（试行）</w:t>
      </w:r>
    </w:p>
    <w:p>
      <w:pPr>
        <w:spacing w:line="360" w:lineRule="auto"/>
        <w:ind w:firstLine="562" w:firstLineChars="200"/>
        <w:jc w:val="center"/>
        <w:rPr>
          <w:rFonts w:asciiTheme="minorEastAsia" w:hAnsiTheme="minorEastAsia"/>
          <w:b/>
          <w:sz w:val="28"/>
          <w:szCs w:val="28"/>
        </w:rPr>
      </w:pPr>
      <w:r>
        <w:rPr>
          <w:rFonts w:hint="eastAsia" w:asciiTheme="minorEastAsia" w:hAnsiTheme="minorEastAsia"/>
          <w:b/>
          <w:sz w:val="28"/>
          <w:szCs w:val="28"/>
        </w:rPr>
        <w:t>（实践类课程）</w:t>
      </w:r>
    </w:p>
    <w:tbl>
      <w:tblPr>
        <w:tblStyle w:val="11"/>
        <w:tblW w:w="9923" w:type="dxa"/>
        <w:tblInd w:w="-567" w:type="dxa"/>
        <w:tblLayout w:type="fixed"/>
        <w:tblCellMar>
          <w:top w:w="0" w:type="dxa"/>
          <w:left w:w="108" w:type="dxa"/>
          <w:bottom w:w="0" w:type="dxa"/>
          <w:right w:w="108" w:type="dxa"/>
        </w:tblCellMar>
      </w:tblPr>
      <w:tblGrid>
        <w:gridCol w:w="824"/>
        <w:gridCol w:w="736"/>
        <w:gridCol w:w="1134"/>
        <w:gridCol w:w="5069"/>
        <w:gridCol w:w="1309"/>
        <w:gridCol w:w="851"/>
      </w:tblGrid>
      <w:tr>
        <w:tblPrEx>
          <w:tblCellMar>
            <w:top w:w="0" w:type="dxa"/>
            <w:left w:w="108" w:type="dxa"/>
            <w:bottom w:w="0" w:type="dxa"/>
            <w:right w:w="108" w:type="dxa"/>
          </w:tblCellMar>
        </w:tblPrEx>
        <w:trPr>
          <w:trHeight w:val="212" w:hRule="atLeast"/>
        </w:trPr>
        <w:tc>
          <w:tcPr>
            <w:tcW w:w="9923" w:type="dxa"/>
            <w:gridSpan w:val="6"/>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eastAsia="宋体" w:cs="宋体"/>
                <w:kern w:val="0"/>
                <w:szCs w:val="21"/>
              </w:rPr>
            </w:pPr>
            <w:r>
              <w:rPr>
                <w:rFonts w:hint="eastAsia" w:ascii="宋体" w:hAnsi="宋体" w:eastAsia="宋体" w:cs="宋体"/>
                <w:kern w:val="0"/>
                <w:szCs w:val="21"/>
              </w:rPr>
              <w:t xml:space="preserve">课程序号：           课程名称：                  </w:t>
            </w:r>
            <w:r>
              <w:rPr>
                <w:rFonts w:ascii="宋体" w:hAnsi="宋体" w:eastAsia="宋体" w:cs="宋体"/>
                <w:kern w:val="0"/>
                <w:szCs w:val="21"/>
              </w:rPr>
              <w:t xml:space="preserve"> </w:t>
            </w:r>
            <w:r>
              <w:rPr>
                <w:rFonts w:hint="eastAsia" w:ascii="宋体" w:hAnsi="宋体" w:eastAsia="宋体" w:cs="宋体"/>
                <w:kern w:val="0"/>
                <w:szCs w:val="21"/>
              </w:rPr>
              <w:t xml:space="preserve">  开课部门：           本实验学时：</w:t>
            </w:r>
            <w:r>
              <w:rPr>
                <w:rFonts w:ascii="宋体" w:hAnsi="宋体" w:eastAsia="宋体" w:cs="宋体"/>
                <w:kern w:val="0"/>
                <w:szCs w:val="21"/>
              </w:rPr>
              <w:t xml:space="preserve"> </w:t>
            </w:r>
          </w:p>
        </w:tc>
      </w:tr>
      <w:tr>
        <w:tblPrEx>
          <w:tblCellMar>
            <w:top w:w="0" w:type="dxa"/>
            <w:left w:w="108" w:type="dxa"/>
            <w:bottom w:w="0" w:type="dxa"/>
            <w:right w:w="108" w:type="dxa"/>
          </w:tblCellMar>
        </w:tblPrEx>
        <w:trPr>
          <w:trHeight w:val="174" w:hRule="atLeast"/>
        </w:trPr>
        <w:tc>
          <w:tcPr>
            <w:tcW w:w="9923" w:type="dxa"/>
            <w:gridSpan w:val="6"/>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 xml:space="preserve">实验内容：         </w:t>
            </w:r>
            <w:r>
              <w:rPr>
                <w:rFonts w:ascii="宋体" w:hAnsi="宋体" w:eastAsia="宋体" w:cs="宋体"/>
                <w:kern w:val="0"/>
                <w:szCs w:val="21"/>
              </w:rPr>
              <w:t xml:space="preserve">                              </w:t>
            </w:r>
            <w:r>
              <w:rPr>
                <w:rFonts w:hint="eastAsia" w:ascii="宋体" w:hAnsi="宋体" w:eastAsia="宋体" w:cs="宋体"/>
                <w:kern w:val="0"/>
                <w:szCs w:val="21"/>
              </w:rPr>
              <w:t xml:space="preserve">   实验地点：           授课教师：     </w:t>
            </w:r>
          </w:p>
        </w:tc>
      </w:tr>
      <w:tr>
        <w:trPr>
          <w:trHeight w:val="278" w:hRule="atLeast"/>
        </w:trPr>
        <w:tc>
          <w:tcPr>
            <w:tcW w:w="9923" w:type="dxa"/>
            <w:gridSpan w:val="6"/>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实验</w:t>
            </w:r>
            <w:r>
              <w:rPr>
                <w:rFonts w:ascii="宋体" w:hAnsi="宋体" w:eastAsia="宋体" w:cs="宋体"/>
                <w:kern w:val="0"/>
                <w:szCs w:val="21"/>
              </w:rPr>
              <w:t>性质：</w:t>
            </w:r>
            <w:r>
              <w:rPr>
                <w:rFonts w:hint="eastAsia" w:ascii="宋体" w:hAnsi="宋体" w:eastAsia="宋体" w:cs="宋体"/>
                <w:kern w:val="0"/>
                <w:szCs w:val="21"/>
              </w:rPr>
              <w:t xml:space="preserve"> </w:t>
            </w:r>
            <w:r>
              <w:rPr>
                <w:rFonts w:ascii="宋体" w:hAnsi="宋体" w:eastAsia="宋体" w:cs="宋体"/>
                <w:kern w:val="0"/>
                <w:szCs w:val="21"/>
              </w:rPr>
              <w:t xml:space="preserve"> </w:t>
            </w:r>
            <w:r>
              <w:rPr>
                <w:rFonts w:hint="eastAsia" w:ascii="宋体" w:hAnsi="宋体" w:eastAsia="宋体" w:cs="宋体"/>
                <w:kern w:val="0"/>
                <w:szCs w:val="21"/>
              </w:rPr>
              <w:t xml:space="preserve"> </w:t>
            </w:r>
            <w:r>
              <w:rPr>
                <w:rFonts w:ascii="宋体" w:hAnsi="宋体" w:eastAsia="宋体" w:cs="宋体"/>
                <w:kern w:val="0"/>
                <w:szCs w:val="21"/>
              </w:rPr>
              <w:t>演示</w:t>
            </w:r>
            <w:r>
              <w:rPr>
                <w:rFonts w:hint="eastAsia" w:ascii="宋体" w:hAnsi="宋体" w:eastAsia="宋体" w:cs="宋体"/>
                <w:kern w:val="0"/>
                <w:szCs w:val="21"/>
              </w:rPr>
              <w:t xml:space="preserve">□ </w:t>
            </w:r>
            <w:r>
              <w:rPr>
                <w:rFonts w:ascii="宋体" w:hAnsi="宋体" w:eastAsia="宋体" w:cs="宋体"/>
                <w:kern w:val="0"/>
                <w:szCs w:val="21"/>
              </w:rPr>
              <w:t xml:space="preserve">     </w:t>
            </w:r>
            <w:r>
              <w:rPr>
                <w:rFonts w:hint="eastAsia" w:ascii="宋体" w:hAnsi="宋体" w:eastAsia="宋体" w:cs="宋体"/>
                <w:kern w:val="0"/>
                <w:szCs w:val="21"/>
              </w:rPr>
              <w:t xml:space="preserve">验证□ </w:t>
            </w:r>
            <w:r>
              <w:rPr>
                <w:rFonts w:ascii="宋体" w:hAnsi="宋体" w:eastAsia="宋体" w:cs="宋体"/>
                <w:kern w:val="0"/>
                <w:szCs w:val="21"/>
              </w:rPr>
              <w:t xml:space="preserve"> </w:t>
            </w:r>
            <w:r>
              <w:rPr>
                <w:rFonts w:hint="eastAsia" w:ascii="宋体" w:hAnsi="宋体" w:eastAsia="宋体" w:cs="宋体"/>
                <w:kern w:val="0"/>
                <w:szCs w:val="21"/>
              </w:rPr>
              <w:t xml:space="preserve"> </w:t>
            </w:r>
            <w:r>
              <w:rPr>
                <w:rFonts w:ascii="宋体" w:hAnsi="宋体" w:eastAsia="宋体" w:cs="宋体"/>
                <w:kern w:val="0"/>
                <w:szCs w:val="21"/>
              </w:rPr>
              <w:t xml:space="preserve">    设计</w:t>
            </w:r>
            <w:r>
              <w:rPr>
                <w:rFonts w:hint="eastAsia" w:ascii="宋体" w:hAnsi="宋体" w:eastAsia="宋体" w:cs="宋体"/>
                <w:kern w:val="0"/>
                <w:szCs w:val="21"/>
              </w:rPr>
              <w:t xml:space="preserve">□ </w:t>
            </w:r>
            <w:r>
              <w:rPr>
                <w:rFonts w:ascii="宋体" w:hAnsi="宋体" w:eastAsia="宋体" w:cs="宋体"/>
                <w:kern w:val="0"/>
                <w:szCs w:val="21"/>
              </w:rPr>
              <w:t xml:space="preserve">    </w:t>
            </w:r>
            <w:r>
              <w:rPr>
                <w:rFonts w:hint="eastAsia" w:ascii="宋体" w:hAnsi="宋体" w:eastAsia="宋体" w:cs="宋体"/>
                <w:kern w:val="0"/>
                <w:szCs w:val="21"/>
              </w:rPr>
              <w:t xml:space="preserve">  综合□</w:t>
            </w:r>
          </w:p>
        </w:tc>
      </w:tr>
      <w:tr>
        <w:tblPrEx>
          <w:tblCellMar>
            <w:top w:w="0" w:type="dxa"/>
            <w:left w:w="108" w:type="dxa"/>
            <w:bottom w:w="0" w:type="dxa"/>
            <w:right w:w="108" w:type="dxa"/>
          </w:tblCellMar>
        </w:tblPrEx>
        <w:trPr>
          <w:trHeight w:val="255" w:hRule="atLeast"/>
        </w:trPr>
        <w:tc>
          <w:tcPr>
            <w:tcW w:w="9923" w:type="dxa"/>
            <w:gridSpan w:val="6"/>
            <w:tcBorders>
              <w:top w:val="single" w:color="auto" w:sz="4" w:space="0"/>
              <w:left w:val="single" w:color="auto" w:sz="4" w:space="0"/>
              <w:bottom w:val="double" w:color="auto" w:sz="6" w:space="0"/>
              <w:right w:val="single" w:color="auto" w:sz="4" w:space="0"/>
            </w:tcBorders>
            <w:noWrap/>
            <w:vAlign w:val="center"/>
          </w:tcPr>
          <w:p>
            <w:pPr>
              <w:widowControl/>
              <w:jc w:val="left"/>
              <w:rPr>
                <w:rFonts w:ascii="宋体" w:hAnsi="宋体" w:eastAsia="宋体" w:cs="宋体"/>
                <w:kern w:val="0"/>
                <w:szCs w:val="21"/>
              </w:rPr>
            </w:pPr>
            <w:r>
              <w:rPr>
                <w:rFonts w:hint="eastAsia" w:ascii="宋体" w:hAnsi="宋体" w:eastAsia="宋体" w:cs="宋体"/>
                <w:kern w:val="0"/>
                <w:szCs w:val="21"/>
              </w:rPr>
              <w:t>应到学生</w:t>
            </w:r>
            <w:r>
              <w:rPr>
                <w:rFonts w:ascii="宋体" w:hAnsi="宋体" w:eastAsia="宋体" w:cs="宋体"/>
                <w:kern w:val="0"/>
                <w:szCs w:val="21"/>
              </w:rPr>
              <w:t>数</w:t>
            </w:r>
            <w:r>
              <w:rPr>
                <w:rFonts w:hint="eastAsia" w:ascii="宋体" w:hAnsi="宋体" w:eastAsia="宋体" w:cs="宋体"/>
                <w:kern w:val="0"/>
                <w:szCs w:val="21"/>
              </w:rPr>
              <w:t>：         实到学生</w:t>
            </w:r>
            <w:r>
              <w:rPr>
                <w:rFonts w:ascii="宋体" w:hAnsi="宋体" w:eastAsia="宋体" w:cs="宋体"/>
                <w:kern w:val="0"/>
                <w:szCs w:val="21"/>
              </w:rPr>
              <w:t>数</w:t>
            </w:r>
            <w:r>
              <w:rPr>
                <w:rFonts w:hint="eastAsia" w:ascii="宋体" w:hAnsi="宋体" w:eastAsia="宋体" w:cs="宋体"/>
                <w:kern w:val="0"/>
                <w:szCs w:val="21"/>
              </w:rPr>
              <w:t>：</w:t>
            </w:r>
            <w:r>
              <w:rPr>
                <w:rFonts w:ascii="宋体" w:hAnsi="宋体" w:eastAsia="宋体"/>
                <w:kern w:val="0"/>
                <w:szCs w:val="21"/>
              </w:rPr>
              <w:t xml:space="preserve">           </w:t>
            </w:r>
            <w:r>
              <w:rPr>
                <w:rFonts w:hint="eastAsia" w:ascii="宋体" w:hAnsi="宋体" w:eastAsia="宋体"/>
                <w:kern w:val="0"/>
                <w:szCs w:val="21"/>
              </w:rPr>
              <w:t xml:space="preserve">        </w:t>
            </w:r>
            <w:r>
              <w:rPr>
                <w:rFonts w:hint="eastAsia" w:ascii="宋体" w:hAnsi="宋体" w:eastAsia="宋体" w:cs="宋体"/>
                <w:kern w:val="0"/>
                <w:szCs w:val="21"/>
              </w:rPr>
              <w:t xml:space="preserve">组数：     </w:t>
            </w:r>
            <w:r>
              <w:rPr>
                <w:rFonts w:ascii="宋体" w:hAnsi="宋体" w:eastAsia="宋体"/>
                <w:kern w:val="0"/>
                <w:szCs w:val="21"/>
              </w:rPr>
              <w:t xml:space="preserve">         </w:t>
            </w:r>
            <w:r>
              <w:rPr>
                <w:rFonts w:hint="eastAsia" w:ascii="宋体" w:hAnsi="宋体" w:eastAsia="宋体"/>
                <w:kern w:val="0"/>
                <w:szCs w:val="21"/>
              </w:rPr>
              <w:t xml:space="preserve"> </w:t>
            </w:r>
            <w:r>
              <w:rPr>
                <w:rFonts w:hint="eastAsia" w:ascii="宋体" w:hAnsi="宋体" w:eastAsia="宋体" w:cs="宋体"/>
                <w:kern w:val="0"/>
                <w:szCs w:val="21"/>
              </w:rPr>
              <w:t>人数</w:t>
            </w:r>
            <w:r>
              <w:rPr>
                <w:rFonts w:ascii="宋体" w:hAnsi="宋体" w:eastAsia="宋体"/>
                <w:kern w:val="0"/>
                <w:szCs w:val="21"/>
              </w:rPr>
              <w:t>/</w:t>
            </w:r>
            <w:r>
              <w:rPr>
                <w:rFonts w:hint="eastAsia" w:ascii="宋体" w:hAnsi="宋体" w:eastAsia="宋体" w:cs="宋体"/>
                <w:kern w:val="0"/>
                <w:szCs w:val="21"/>
              </w:rPr>
              <w:t>组：</w:t>
            </w:r>
            <w:r>
              <w:rPr>
                <w:rFonts w:ascii="宋体" w:hAnsi="宋体" w:eastAsia="宋体"/>
                <w:kern w:val="0"/>
                <w:szCs w:val="21"/>
              </w:rPr>
              <w:t xml:space="preserve">     </w:t>
            </w:r>
          </w:p>
        </w:tc>
      </w:tr>
      <w:tr>
        <w:tblPrEx>
          <w:tblCellMar>
            <w:top w:w="0" w:type="dxa"/>
            <w:left w:w="108" w:type="dxa"/>
            <w:bottom w:w="0" w:type="dxa"/>
            <w:right w:w="108" w:type="dxa"/>
          </w:tblCellMar>
        </w:tblPrEx>
        <w:trPr>
          <w:trHeight w:val="449" w:hRule="atLeast"/>
        </w:trPr>
        <w:tc>
          <w:tcPr>
            <w:tcW w:w="2694" w:type="dxa"/>
            <w:gridSpan w:val="3"/>
            <w:tcBorders>
              <w:top w:val="single" w:color="auto" w:sz="4" w:space="0"/>
              <w:left w:val="single" w:color="auto" w:sz="4" w:space="0"/>
              <w:bottom w:val="double" w:color="auto" w:sz="6" w:space="0"/>
              <w:right w:val="single" w:color="auto" w:sz="4" w:space="0"/>
            </w:tcBorders>
            <w:noWrap/>
            <w:vAlign w:val="center"/>
          </w:tcPr>
          <w:p>
            <w:pPr>
              <w:widowControl/>
              <w:spacing w:line="280" w:lineRule="exact"/>
              <w:jc w:val="left"/>
              <w:rPr>
                <w:rFonts w:ascii="宋体" w:hAnsi="宋体" w:eastAsia="宋体" w:cs="宋体"/>
                <w:kern w:val="0"/>
                <w:szCs w:val="21"/>
              </w:rPr>
            </w:pPr>
            <w:r>
              <w:rPr>
                <w:rFonts w:hint="eastAsia" w:ascii="宋体" w:hAnsi="宋体" w:eastAsia="宋体" w:cs="宋体"/>
                <w:kern w:val="0"/>
                <w:szCs w:val="21"/>
              </w:rPr>
              <w:t xml:space="preserve">是否带有如下实验教学基本文件，请打√： </w:t>
            </w:r>
          </w:p>
        </w:tc>
        <w:tc>
          <w:tcPr>
            <w:tcW w:w="7229" w:type="dxa"/>
            <w:gridSpan w:val="3"/>
            <w:tcBorders>
              <w:top w:val="single" w:color="auto" w:sz="4" w:space="0"/>
              <w:left w:val="single" w:color="auto" w:sz="4" w:space="0"/>
              <w:bottom w:val="double" w:color="auto" w:sz="6" w:space="0"/>
              <w:right w:val="single" w:color="auto" w:sz="4" w:space="0"/>
            </w:tcBorders>
            <w:vAlign w:val="center"/>
          </w:tcPr>
          <w:p>
            <w:pPr>
              <w:widowControl/>
              <w:spacing w:line="280" w:lineRule="exact"/>
              <w:jc w:val="left"/>
              <w:rPr>
                <w:rFonts w:ascii="宋体" w:hAnsi="宋体" w:eastAsia="宋体" w:cs="宋体"/>
                <w:kern w:val="0"/>
                <w:szCs w:val="21"/>
              </w:rPr>
            </w:pPr>
            <w:r>
              <w:rPr>
                <w:rFonts w:hint="eastAsia" w:ascii="宋体" w:hAnsi="宋体" w:eastAsia="宋体" w:cs="宋体"/>
                <w:kern w:val="0"/>
                <w:szCs w:val="21"/>
              </w:rPr>
              <w:t>课程大纲□ 实验教学计划表□ 教案□ 学生名册□ 教材或讲义□</w:t>
            </w:r>
          </w:p>
        </w:tc>
      </w:tr>
      <w:tr>
        <w:tblPrEx>
          <w:tblCellMar>
            <w:top w:w="0" w:type="dxa"/>
            <w:left w:w="108" w:type="dxa"/>
            <w:bottom w:w="0" w:type="dxa"/>
            <w:right w:w="108" w:type="dxa"/>
          </w:tblCellMar>
        </w:tblPrEx>
        <w:trPr>
          <w:trHeight w:val="204" w:hRule="atLeast"/>
        </w:trPr>
        <w:tc>
          <w:tcPr>
            <w:tcW w:w="824" w:type="dxa"/>
            <w:tcBorders>
              <w:top w:val="nil"/>
              <w:left w:val="single" w:color="auto" w:sz="4" w:space="0"/>
              <w:bottom w:val="single" w:color="auto" w:sz="4" w:space="0"/>
              <w:right w:val="single" w:color="auto" w:sz="4" w:space="0"/>
            </w:tcBorders>
            <w:vAlign w:val="center"/>
          </w:tcPr>
          <w:p>
            <w:pPr>
              <w:widowControl/>
              <w:spacing w:line="280" w:lineRule="exact"/>
              <w:jc w:val="center"/>
              <w:rPr>
                <w:rFonts w:ascii="宋体" w:hAnsi="宋体" w:eastAsia="宋体" w:cs="宋体"/>
                <w:b/>
                <w:bCs/>
                <w:kern w:val="0"/>
                <w:sz w:val="24"/>
                <w:szCs w:val="24"/>
              </w:rPr>
            </w:pPr>
            <w:r>
              <w:rPr>
                <w:rFonts w:hint="eastAsia" w:ascii="宋体" w:hAnsi="宋体" w:eastAsia="宋体" w:cs="宋体"/>
                <w:b/>
                <w:bCs/>
                <w:kern w:val="0"/>
                <w:sz w:val="24"/>
                <w:szCs w:val="24"/>
              </w:rPr>
              <w:t>序号</w:t>
            </w:r>
          </w:p>
        </w:tc>
        <w:tc>
          <w:tcPr>
            <w:tcW w:w="736" w:type="dxa"/>
            <w:tcBorders>
              <w:top w:val="nil"/>
              <w:left w:val="single" w:color="auto" w:sz="4" w:space="0"/>
              <w:bottom w:val="single" w:color="auto" w:sz="4" w:space="0"/>
              <w:right w:val="single" w:color="auto" w:sz="4" w:space="0"/>
            </w:tcBorders>
            <w:vAlign w:val="center"/>
          </w:tcPr>
          <w:p>
            <w:pPr>
              <w:widowControl/>
              <w:spacing w:line="280" w:lineRule="exact"/>
              <w:jc w:val="center"/>
              <w:rPr>
                <w:rFonts w:ascii="宋体" w:hAnsi="宋体" w:eastAsia="宋体" w:cs="宋体"/>
                <w:b/>
                <w:bCs/>
                <w:kern w:val="0"/>
                <w:sz w:val="24"/>
                <w:szCs w:val="24"/>
              </w:rPr>
            </w:pPr>
            <w:r>
              <w:rPr>
                <w:rFonts w:hint="eastAsia" w:ascii="宋体" w:hAnsi="宋体" w:eastAsia="宋体" w:cs="宋体"/>
                <w:b/>
                <w:bCs/>
                <w:kern w:val="0"/>
                <w:sz w:val="24"/>
                <w:szCs w:val="24"/>
              </w:rPr>
              <w:t>项目</w:t>
            </w:r>
          </w:p>
        </w:tc>
        <w:tc>
          <w:tcPr>
            <w:tcW w:w="6203" w:type="dxa"/>
            <w:gridSpan w:val="2"/>
            <w:tcBorders>
              <w:top w:val="nil"/>
              <w:left w:val="single" w:color="auto" w:sz="4" w:space="0"/>
              <w:bottom w:val="single" w:color="auto" w:sz="4" w:space="0"/>
              <w:right w:val="nil"/>
            </w:tcBorders>
            <w:vAlign w:val="center"/>
          </w:tcPr>
          <w:p>
            <w:pPr>
              <w:widowControl/>
              <w:spacing w:line="280" w:lineRule="exact"/>
              <w:jc w:val="center"/>
              <w:rPr>
                <w:rFonts w:ascii="宋体" w:hAnsi="宋体" w:eastAsia="宋体" w:cs="宋体"/>
                <w:b/>
                <w:bCs/>
                <w:kern w:val="0"/>
                <w:sz w:val="24"/>
                <w:szCs w:val="24"/>
              </w:rPr>
            </w:pPr>
            <w:r>
              <w:rPr>
                <w:rFonts w:hint="eastAsia" w:ascii="宋体" w:hAnsi="宋体" w:eastAsia="宋体" w:cs="宋体"/>
                <w:b/>
                <w:bCs/>
                <w:kern w:val="0"/>
                <w:sz w:val="24"/>
                <w:szCs w:val="24"/>
              </w:rPr>
              <w:t>评价指标</w:t>
            </w:r>
          </w:p>
        </w:tc>
        <w:tc>
          <w:tcPr>
            <w:tcW w:w="1309" w:type="dxa"/>
            <w:tcBorders>
              <w:top w:val="nil"/>
              <w:left w:val="single" w:color="auto" w:sz="4" w:space="0"/>
              <w:bottom w:val="single" w:color="000000" w:sz="4" w:space="0"/>
              <w:right w:val="single" w:color="auto" w:sz="4" w:space="0"/>
            </w:tcBorders>
            <w:vAlign w:val="center"/>
          </w:tcPr>
          <w:p>
            <w:pPr>
              <w:widowControl/>
              <w:spacing w:line="280" w:lineRule="exact"/>
              <w:jc w:val="center"/>
              <w:rPr>
                <w:rFonts w:ascii="宋体" w:hAnsi="宋体" w:eastAsia="宋体" w:cs="宋体"/>
                <w:b/>
                <w:bCs/>
                <w:kern w:val="0"/>
                <w:sz w:val="24"/>
                <w:szCs w:val="24"/>
              </w:rPr>
            </w:pPr>
            <w:r>
              <w:rPr>
                <w:rFonts w:hint="eastAsia" w:ascii="宋体" w:hAnsi="宋体" w:eastAsia="宋体" w:cs="宋体"/>
                <w:b/>
                <w:bCs/>
                <w:kern w:val="0"/>
                <w:sz w:val="24"/>
                <w:szCs w:val="24"/>
              </w:rPr>
              <w:t>指标分数</w:t>
            </w:r>
          </w:p>
        </w:tc>
        <w:tc>
          <w:tcPr>
            <w:tcW w:w="851" w:type="dxa"/>
            <w:tcBorders>
              <w:top w:val="nil"/>
              <w:left w:val="nil"/>
              <w:bottom w:val="single" w:color="auto" w:sz="4" w:space="0"/>
              <w:right w:val="single" w:color="auto" w:sz="4" w:space="0"/>
            </w:tcBorders>
            <w:noWrap/>
            <w:vAlign w:val="center"/>
          </w:tcPr>
          <w:p>
            <w:pPr>
              <w:widowControl/>
              <w:spacing w:line="280" w:lineRule="exact"/>
              <w:jc w:val="center"/>
              <w:rPr>
                <w:rFonts w:ascii="宋体" w:hAnsi="宋体" w:eastAsia="宋体" w:cs="宋体"/>
                <w:b/>
                <w:bCs/>
                <w:kern w:val="0"/>
                <w:sz w:val="24"/>
                <w:szCs w:val="24"/>
              </w:rPr>
            </w:pPr>
            <w:r>
              <w:rPr>
                <w:rFonts w:hint="eastAsia" w:ascii="宋体" w:hAnsi="宋体" w:eastAsia="宋体" w:cs="宋体"/>
                <w:b/>
                <w:bCs/>
                <w:kern w:val="0"/>
                <w:sz w:val="24"/>
                <w:szCs w:val="24"/>
              </w:rPr>
              <w:t>得分</w:t>
            </w:r>
          </w:p>
        </w:tc>
      </w:tr>
      <w:tr>
        <w:tblPrEx>
          <w:tblCellMar>
            <w:top w:w="0" w:type="dxa"/>
            <w:left w:w="108" w:type="dxa"/>
            <w:bottom w:w="0" w:type="dxa"/>
            <w:right w:w="108" w:type="dxa"/>
          </w:tblCellMar>
        </w:tblPrEx>
        <w:trPr>
          <w:trHeight w:val="624" w:hRule="atLeast"/>
        </w:trPr>
        <w:tc>
          <w:tcPr>
            <w:tcW w:w="824"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eastAsia="宋体"/>
                <w:color w:val="000000"/>
                <w:sz w:val="24"/>
                <w:szCs w:val="24"/>
              </w:rPr>
            </w:pPr>
            <w:r>
              <w:rPr>
                <w:rFonts w:hint="eastAsia" w:ascii="宋体" w:hAnsi="宋体" w:eastAsia="宋体"/>
                <w:color w:val="000000"/>
                <w:sz w:val="24"/>
                <w:szCs w:val="24"/>
              </w:rPr>
              <w:t>1</w:t>
            </w:r>
          </w:p>
        </w:tc>
        <w:tc>
          <w:tcPr>
            <w:tcW w:w="736" w:type="dxa"/>
            <w:vMerge w:val="restart"/>
            <w:tcBorders>
              <w:top w:val="single" w:color="auto" w:sz="4" w:space="0"/>
              <w:left w:val="single" w:color="auto" w:sz="4" w:space="0"/>
              <w:right w:val="single" w:color="auto" w:sz="4" w:space="0"/>
            </w:tcBorders>
            <w:vAlign w:val="center"/>
          </w:tcPr>
          <w:p>
            <w:pPr>
              <w:spacing w:line="280" w:lineRule="exact"/>
              <w:jc w:val="center"/>
              <w:rPr>
                <w:rFonts w:ascii="宋体" w:hAnsi="宋体" w:eastAsia="宋体" w:cs="宋体"/>
                <w:kern w:val="0"/>
                <w:szCs w:val="21"/>
              </w:rPr>
            </w:pPr>
            <w:r>
              <w:rPr>
                <w:rFonts w:hint="eastAsia" w:ascii="宋体" w:hAnsi="宋体" w:eastAsia="宋体"/>
                <w:b/>
                <w:bCs/>
                <w:szCs w:val="21"/>
              </w:rPr>
              <w:t>教学规范</w:t>
            </w:r>
          </w:p>
        </w:tc>
        <w:tc>
          <w:tcPr>
            <w:tcW w:w="6203" w:type="dxa"/>
            <w:gridSpan w:val="2"/>
            <w:tcBorders>
              <w:top w:val="nil"/>
              <w:left w:val="single" w:color="auto" w:sz="4" w:space="0"/>
              <w:bottom w:val="single" w:color="auto" w:sz="4" w:space="0"/>
              <w:right w:val="nil"/>
            </w:tcBorders>
            <w:vAlign w:val="center"/>
          </w:tcPr>
          <w:p>
            <w:pPr>
              <w:spacing w:line="280" w:lineRule="exact"/>
              <w:rPr>
                <w:rFonts w:ascii="宋体" w:hAnsi="宋体" w:eastAsia="宋体"/>
                <w:szCs w:val="21"/>
              </w:rPr>
            </w:pPr>
            <w:r>
              <w:rPr>
                <w:rFonts w:hint="eastAsia" w:ascii="宋体" w:hAnsi="宋体" w:eastAsia="宋体"/>
                <w:szCs w:val="21"/>
              </w:rPr>
              <w:t>体现立德树人理念，教师言行得当、精神饱满，能够以积极正面的教学态度影响学生。</w:t>
            </w:r>
          </w:p>
        </w:tc>
        <w:tc>
          <w:tcPr>
            <w:tcW w:w="1309" w:type="dxa"/>
            <w:tcBorders>
              <w:top w:val="nil"/>
              <w:left w:val="single" w:color="auto" w:sz="4" w:space="0"/>
              <w:bottom w:val="single" w:color="000000" w:sz="4" w:space="0"/>
              <w:right w:val="single" w:color="auto" w:sz="4" w:space="0"/>
            </w:tcBorders>
            <w:vAlign w:val="center"/>
          </w:tcPr>
          <w:p>
            <w:pPr>
              <w:spacing w:line="280" w:lineRule="exact"/>
              <w:jc w:val="center"/>
              <w:rPr>
                <w:rFonts w:ascii="宋体" w:hAnsi="宋体" w:eastAsia="宋体"/>
                <w:color w:val="000000"/>
                <w:szCs w:val="21"/>
              </w:rPr>
            </w:pPr>
            <w:r>
              <w:rPr>
                <w:rFonts w:ascii="宋体" w:hAnsi="宋体" w:eastAsia="宋体"/>
                <w:color w:val="000000"/>
                <w:szCs w:val="21"/>
              </w:rPr>
              <w:t>10</w:t>
            </w:r>
          </w:p>
        </w:tc>
        <w:tc>
          <w:tcPr>
            <w:tcW w:w="851" w:type="dxa"/>
            <w:tcBorders>
              <w:top w:val="nil"/>
              <w:left w:val="nil"/>
              <w:bottom w:val="single" w:color="auto" w:sz="4" w:space="0"/>
              <w:right w:val="single" w:color="auto" w:sz="4" w:space="0"/>
            </w:tcBorders>
            <w:noWrap/>
            <w:vAlign w:val="center"/>
          </w:tcPr>
          <w:p>
            <w:pPr>
              <w:widowControl/>
              <w:spacing w:line="280" w:lineRule="exact"/>
              <w:jc w:val="center"/>
              <w:rPr>
                <w:rFonts w:ascii="宋体" w:hAnsi="宋体" w:eastAsia="宋体" w:cs="宋体"/>
                <w:color w:val="000000"/>
                <w:kern w:val="0"/>
                <w:szCs w:val="21"/>
              </w:rPr>
            </w:pPr>
          </w:p>
        </w:tc>
      </w:tr>
      <w:tr>
        <w:trPr>
          <w:trHeight w:val="502" w:hRule="atLeast"/>
        </w:trPr>
        <w:tc>
          <w:tcPr>
            <w:tcW w:w="824" w:type="dxa"/>
            <w:vMerge w:val="continue"/>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eastAsia="宋体"/>
                <w:color w:val="000000"/>
                <w:sz w:val="24"/>
                <w:szCs w:val="24"/>
              </w:rPr>
            </w:pPr>
          </w:p>
        </w:tc>
        <w:tc>
          <w:tcPr>
            <w:tcW w:w="736" w:type="dxa"/>
            <w:vMerge w:val="continue"/>
            <w:tcBorders>
              <w:left w:val="single" w:color="auto" w:sz="4" w:space="0"/>
              <w:right w:val="single" w:color="auto" w:sz="4" w:space="0"/>
            </w:tcBorders>
            <w:vAlign w:val="center"/>
          </w:tcPr>
          <w:p>
            <w:pPr>
              <w:spacing w:line="280" w:lineRule="exact"/>
              <w:jc w:val="center"/>
              <w:rPr>
                <w:rFonts w:ascii="宋体" w:hAnsi="宋体" w:eastAsia="宋体"/>
                <w:szCs w:val="21"/>
              </w:rPr>
            </w:pPr>
          </w:p>
        </w:tc>
        <w:tc>
          <w:tcPr>
            <w:tcW w:w="6203" w:type="dxa"/>
            <w:gridSpan w:val="2"/>
            <w:tcBorders>
              <w:top w:val="nil"/>
              <w:left w:val="single" w:color="auto" w:sz="4" w:space="0"/>
              <w:bottom w:val="single" w:color="auto" w:sz="4" w:space="0"/>
              <w:right w:val="nil"/>
            </w:tcBorders>
            <w:vAlign w:val="center"/>
          </w:tcPr>
          <w:p>
            <w:pPr>
              <w:spacing w:line="280" w:lineRule="exact"/>
              <w:rPr>
                <w:rFonts w:ascii="宋体" w:hAnsi="宋体" w:eastAsia="宋体"/>
                <w:szCs w:val="21"/>
              </w:rPr>
            </w:pPr>
            <w:r>
              <w:rPr>
                <w:rFonts w:hint="eastAsia" w:ascii="宋体" w:hAnsi="宋体" w:eastAsia="宋体"/>
                <w:szCs w:val="21"/>
              </w:rPr>
              <w:t>实验过程全程在岗，给学生提供充分的指导。</w:t>
            </w:r>
          </w:p>
        </w:tc>
        <w:tc>
          <w:tcPr>
            <w:tcW w:w="1309" w:type="dxa"/>
            <w:tcBorders>
              <w:top w:val="nil"/>
              <w:left w:val="single" w:color="auto" w:sz="4" w:space="0"/>
              <w:bottom w:val="single" w:color="000000" w:sz="4" w:space="0"/>
              <w:right w:val="single" w:color="auto" w:sz="4" w:space="0"/>
            </w:tcBorders>
            <w:vAlign w:val="center"/>
          </w:tcPr>
          <w:p>
            <w:pPr>
              <w:spacing w:line="280" w:lineRule="exact"/>
              <w:jc w:val="center"/>
              <w:rPr>
                <w:rFonts w:ascii="宋体" w:hAnsi="宋体" w:eastAsia="宋体"/>
                <w:color w:val="000000"/>
                <w:szCs w:val="21"/>
              </w:rPr>
            </w:pPr>
            <w:r>
              <w:rPr>
                <w:rFonts w:hint="eastAsia" w:ascii="宋体" w:hAnsi="宋体" w:eastAsia="宋体"/>
                <w:color w:val="000000"/>
                <w:szCs w:val="21"/>
              </w:rPr>
              <w:t>1</w:t>
            </w:r>
            <w:r>
              <w:rPr>
                <w:rFonts w:ascii="宋体" w:hAnsi="宋体" w:eastAsia="宋体"/>
                <w:color w:val="000000"/>
                <w:szCs w:val="21"/>
              </w:rPr>
              <w:t>0</w:t>
            </w:r>
          </w:p>
        </w:tc>
        <w:tc>
          <w:tcPr>
            <w:tcW w:w="851" w:type="dxa"/>
            <w:tcBorders>
              <w:top w:val="nil"/>
              <w:left w:val="nil"/>
              <w:bottom w:val="single" w:color="auto" w:sz="4" w:space="0"/>
              <w:right w:val="single" w:color="auto" w:sz="4" w:space="0"/>
            </w:tcBorders>
            <w:noWrap/>
            <w:vAlign w:val="center"/>
          </w:tcPr>
          <w:p>
            <w:pPr>
              <w:widowControl/>
              <w:spacing w:line="280" w:lineRule="exact"/>
              <w:jc w:val="center"/>
              <w:rPr>
                <w:rFonts w:ascii="宋体" w:hAnsi="宋体" w:eastAsia="宋体" w:cs="宋体"/>
                <w:color w:val="000000"/>
                <w:kern w:val="0"/>
                <w:szCs w:val="21"/>
              </w:rPr>
            </w:pPr>
          </w:p>
        </w:tc>
      </w:tr>
      <w:tr>
        <w:tblPrEx>
          <w:tblCellMar>
            <w:top w:w="0" w:type="dxa"/>
            <w:left w:w="108" w:type="dxa"/>
            <w:bottom w:w="0" w:type="dxa"/>
            <w:right w:w="108" w:type="dxa"/>
          </w:tblCellMar>
        </w:tblPrEx>
        <w:trPr>
          <w:trHeight w:val="552" w:hRule="atLeast"/>
        </w:trPr>
        <w:tc>
          <w:tcPr>
            <w:tcW w:w="824" w:type="dxa"/>
            <w:vMerge w:val="continue"/>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eastAsia="宋体"/>
                <w:color w:val="000000"/>
                <w:sz w:val="24"/>
                <w:szCs w:val="24"/>
              </w:rPr>
            </w:pPr>
          </w:p>
        </w:tc>
        <w:tc>
          <w:tcPr>
            <w:tcW w:w="736" w:type="dxa"/>
            <w:vMerge w:val="continue"/>
            <w:tcBorders>
              <w:left w:val="single" w:color="auto" w:sz="4" w:space="0"/>
              <w:bottom w:val="single" w:color="auto" w:sz="4" w:space="0"/>
              <w:right w:val="single" w:color="auto" w:sz="4" w:space="0"/>
            </w:tcBorders>
            <w:vAlign w:val="center"/>
          </w:tcPr>
          <w:p>
            <w:pPr>
              <w:spacing w:line="280" w:lineRule="exact"/>
              <w:jc w:val="center"/>
              <w:rPr>
                <w:rFonts w:ascii="宋体" w:hAnsi="宋体" w:eastAsia="宋体"/>
                <w:color w:val="000000"/>
                <w:szCs w:val="21"/>
              </w:rPr>
            </w:pPr>
          </w:p>
        </w:tc>
        <w:tc>
          <w:tcPr>
            <w:tcW w:w="6203" w:type="dxa"/>
            <w:gridSpan w:val="2"/>
            <w:tcBorders>
              <w:top w:val="nil"/>
              <w:left w:val="single" w:color="auto" w:sz="4" w:space="0"/>
              <w:bottom w:val="single" w:color="auto" w:sz="4" w:space="0"/>
              <w:right w:val="nil"/>
            </w:tcBorders>
            <w:vAlign w:val="center"/>
          </w:tcPr>
          <w:p>
            <w:pPr>
              <w:spacing w:line="280" w:lineRule="exact"/>
              <w:rPr>
                <w:rFonts w:ascii="宋体" w:hAnsi="宋体" w:eastAsia="宋体"/>
                <w:color w:val="000000"/>
                <w:szCs w:val="21"/>
              </w:rPr>
            </w:pPr>
            <w:r>
              <w:rPr>
                <w:rFonts w:hint="eastAsia" w:ascii="宋体" w:hAnsi="宋体" w:eastAsia="宋体"/>
                <w:color w:val="000000"/>
                <w:szCs w:val="21"/>
              </w:rPr>
              <w:t>实验准备充分，仪器设备完好，环境整洁卫生。</w:t>
            </w:r>
          </w:p>
        </w:tc>
        <w:tc>
          <w:tcPr>
            <w:tcW w:w="1309" w:type="dxa"/>
            <w:tcBorders>
              <w:top w:val="nil"/>
              <w:left w:val="single" w:color="auto" w:sz="4" w:space="0"/>
              <w:bottom w:val="single" w:color="000000" w:sz="4" w:space="0"/>
              <w:right w:val="single" w:color="auto" w:sz="4" w:space="0"/>
            </w:tcBorders>
            <w:vAlign w:val="center"/>
          </w:tcPr>
          <w:p>
            <w:pPr>
              <w:spacing w:line="280" w:lineRule="exact"/>
              <w:jc w:val="center"/>
              <w:rPr>
                <w:rFonts w:ascii="宋体" w:hAnsi="宋体" w:eastAsia="宋体"/>
                <w:color w:val="000000"/>
                <w:szCs w:val="21"/>
              </w:rPr>
            </w:pPr>
            <w:r>
              <w:rPr>
                <w:rFonts w:ascii="宋体" w:hAnsi="宋体" w:eastAsia="宋体"/>
                <w:color w:val="000000"/>
                <w:szCs w:val="21"/>
              </w:rPr>
              <w:t>10</w:t>
            </w:r>
          </w:p>
        </w:tc>
        <w:tc>
          <w:tcPr>
            <w:tcW w:w="851" w:type="dxa"/>
            <w:tcBorders>
              <w:top w:val="nil"/>
              <w:left w:val="nil"/>
              <w:bottom w:val="single" w:color="auto" w:sz="4" w:space="0"/>
              <w:right w:val="single" w:color="auto" w:sz="4" w:space="0"/>
            </w:tcBorders>
            <w:noWrap/>
            <w:vAlign w:val="center"/>
          </w:tcPr>
          <w:p>
            <w:pPr>
              <w:widowControl/>
              <w:spacing w:line="280" w:lineRule="exact"/>
              <w:jc w:val="center"/>
              <w:rPr>
                <w:rFonts w:ascii="宋体" w:hAnsi="宋体" w:eastAsia="宋体" w:cs="宋体"/>
                <w:color w:val="000000"/>
                <w:kern w:val="0"/>
                <w:szCs w:val="21"/>
              </w:rPr>
            </w:pPr>
          </w:p>
        </w:tc>
      </w:tr>
      <w:tr>
        <w:tblPrEx>
          <w:tblCellMar>
            <w:top w:w="0" w:type="dxa"/>
            <w:left w:w="108" w:type="dxa"/>
            <w:bottom w:w="0" w:type="dxa"/>
            <w:right w:w="108" w:type="dxa"/>
          </w:tblCellMar>
        </w:tblPrEx>
        <w:trPr>
          <w:trHeight w:val="624" w:hRule="atLeast"/>
        </w:trPr>
        <w:tc>
          <w:tcPr>
            <w:tcW w:w="824"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eastAsia="宋体"/>
                <w:color w:val="000000"/>
                <w:sz w:val="24"/>
                <w:szCs w:val="24"/>
              </w:rPr>
            </w:pPr>
            <w:r>
              <w:rPr>
                <w:rFonts w:hint="eastAsia" w:ascii="宋体" w:hAnsi="宋体" w:eastAsia="宋体"/>
                <w:color w:val="000000"/>
                <w:sz w:val="24"/>
                <w:szCs w:val="24"/>
              </w:rPr>
              <w:t>2</w:t>
            </w:r>
          </w:p>
        </w:tc>
        <w:tc>
          <w:tcPr>
            <w:tcW w:w="736"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eastAsia="宋体"/>
                <w:b/>
                <w:bCs/>
                <w:color w:val="000000"/>
                <w:szCs w:val="21"/>
              </w:rPr>
            </w:pPr>
            <w:r>
              <w:rPr>
                <w:rFonts w:hint="eastAsia" w:ascii="宋体" w:hAnsi="宋体" w:eastAsia="宋体"/>
                <w:b/>
                <w:bCs/>
                <w:color w:val="000000"/>
                <w:szCs w:val="21"/>
              </w:rPr>
              <w:t>教学</w:t>
            </w:r>
          </w:p>
          <w:p>
            <w:pPr>
              <w:spacing w:line="280" w:lineRule="exact"/>
              <w:jc w:val="center"/>
              <w:rPr>
                <w:rFonts w:ascii="宋体" w:hAnsi="宋体" w:eastAsia="宋体"/>
                <w:color w:val="000000"/>
                <w:kern w:val="0"/>
                <w:szCs w:val="21"/>
              </w:rPr>
            </w:pPr>
            <w:r>
              <w:rPr>
                <w:rFonts w:hint="eastAsia" w:ascii="宋体" w:hAnsi="宋体" w:eastAsia="宋体"/>
                <w:b/>
                <w:bCs/>
                <w:color w:val="000000"/>
                <w:szCs w:val="21"/>
              </w:rPr>
              <w:t>内容</w:t>
            </w:r>
          </w:p>
        </w:tc>
        <w:tc>
          <w:tcPr>
            <w:tcW w:w="6203" w:type="dxa"/>
            <w:gridSpan w:val="2"/>
            <w:tcBorders>
              <w:top w:val="nil"/>
              <w:left w:val="single" w:color="auto" w:sz="4" w:space="0"/>
              <w:bottom w:val="single" w:color="auto" w:sz="4" w:space="0"/>
              <w:right w:val="nil"/>
            </w:tcBorders>
            <w:vAlign w:val="center"/>
          </w:tcPr>
          <w:p>
            <w:pPr>
              <w:spacing w:line="280" w:lineRule="exact"/>
              <w:rPr>
                <w:rFonts w:ascii="宋体" w:hAnsi="宋体" w:eastAsia="宋体"/>
                <w:color w:val="000000"/>
                <w:szCs w:val="21"/>
              </w:rPr>
            </w:pPr>
            <w:r>
              <w:rPr>
                <w:rFonts w:hint="eastAsia" w:ascii="宋体" w:hAnsi="宋体" w:eastAsia="宋体"/>
                <w:color w:val="000000"/>
                <w:szCs w:val="21"/>
              </w:rPr>
              <w:t>围绕教学目标设计实验教学，合理利用线上线下教学资源。</w:t>
            </w:r>
          </w:p>
        </w:tc>
        <w:tc>
          <w:tcPr>
            <w:tcW w:w="1309" w:type="dxa"/>
            <w:tcBorders>
              <w:top w:val="nil"/>
              <w:left w:val="single" w:color="auto" w:sz="4" w:space="0"/>
              <w:bottom w:val="single" w:color="000000" w:sz="4" w:space="0"/>
              <w:right w:val="single" w:color="auto" w:sz="4" w:space="0"/>
            </w:tcBorders>
            <w:vAlign w:val="center"/>
          </w:tcPr>
          <w:p>
            <w:pPr>
              <w:spacing w:line="280" w:lineRule="exact"/>
              <w:jc w:val="center"/>
              <w:rPr>
                <w:rFonts w:ascii="宋体" w:hAnsi="宋体" w:eastAsia="宋体"/>
                <w:color w:val="000000"/>
                <w:szCs w:val="21"/>
              </w:rPr>
            </w:pPr>
            <w:r>
              <w:rPr>
                <w:rFonts w:hint="eastAsia" w:ascii="宋体" w:hAnsi="宋体" w:eastAsia="宋体"/>
                <w:color w:val="000000"/>
                <w:szCs w:val="21"/>
              </w:rPr>
              <w:t>10</w:t>
            </w:r>
          </w:p>
        </w:tc>
        <w:tc>
          <w:tcPr>
            <w:tcW w:w="851" w:type="dxa"/>
            <w:tcBorders>
              <w:top w:val="single" w:color="auto" w:sz="4" w:space="0"/>
              <w:left w:val="nil"/>
              <w:bottom w:val="single" w:color="auto" w:sz="4" w:space="0"/>
              <w:right w:val="single" w:color="auto" w:sz="4" w:space="0"/>
            </w:tcBorders>
            <w:vAlign w:val="center"/>
          </w:tcPr>
          <w:p>
            <w:pPr>
              <w:widowControl/>
              <w:spacing w:line="280" w:lineRule="exact"/>
              <w:jc w:val="center"/>
              <w:rPr>
                <w:rFonts w:ascii="宋体" w:hAnsi="宋体" w:eastAsia="宋体"/>
                <w:color w:val="000000"/>
                <w:kern w:val="0"/>
                <w:szCs w:val="21"/>
              </w:rPr>
            </w:pPr>
          </w:p>
        </w:tc>
      </w:tr>
      <w:tr>
        <w:tblPrEx>
          <w:tblCellMar>
            <w:top w:w="0" w:type="dxa"/>
            <w:left w:w="108" w:type="dxa"/>
            <w:bottom w:w="0" w:type="dxa"/>
            <w:right w:w="108" w:type="dxa"/>
          </w:tblCellMar>
        </w:tblPrEx>
        <w:trPr>
          <w:trHeight w:val="624" w:hRule="atLeast"/>
        </w:trPr>
        <w:tc>
          <w:tcPr>
            <w:tcW w:w="824" w:type="dxa"/>
            <w:vMerge w:val="continue"/>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eastAsia="宋体"/>
                <w:color w:val="000000"/>
                <w:sz w:val="24"/>
                <w:szCs w:val="24"/>
              </w:rPr>
            </w:pPr>
          </w:p>
        </w:tc>
        <w:tc>
          <w:tcPr>
            <w:tcW w:w="73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eastAsia="宋体"/>
                <w:color w:val="000000"/>
                <w:szCs w:val="21"/>
              </w:rPr>
            </w:pPr>
          </w:p>
        </w:tc>
        <w:tc>
          <w:tcPr>
            <w:tcW w:w="6203" w:type="dxa"/>
            <w:gridSpan w:val="2"/>
            <w:tcBorders>
              <w:top w:val="nil"/>
              <w:left w:val="single" w:color="auto" w:sz="4" w:space="0"/>
              <w:bottom w:val="single" w:color="auto" w:sz="4" w:space="0"/>
              <w:right w:val="nil"/>
            </w:tcBorders>
            <w:vAlign w:val="center"/>
          </w:tcPr>
          <w:p>
            <w:pPr>
              <w:spacing w:line="280" w:lineRule="exact"/>
              <w:rPr>
                <w:rFonts w:ascii="宋体" w:hAnsi="宋体" w:eastAsia="宋体"/>
                <w:color w:val="000000"/>
                <w:szCs w:val="21"/>
              </w:rPr>
            </w:pPr>
            <w:r>
              <w:rPr>
                <w:rFonts w:hint="eastAsia" w:ascii="宋体" w:hAnsi="宋体" w:eastAsia="宋体"/>
                <w:color w:val="000000"/>
                <w:szCs w:val="21"/>
              </w:rPr>
              <w:t>实验内容充实、不陈旧，有一定的深度和广度，符合应用型人才培养定位。</w:t>
            </w:r>
          </w:p>
        </w:tc>
        <w:tc>
          <w:tcPr>
            <w:tcW w:w="1309" w:type="dxa"/>
            <w:tcBorders>
              <w:top w:val="nil"/>
              <w:left w:val="single" w:color="auto" w:sz="4" w:space="0"/>
              <w:bottom w:val="single" w:color="000000" w:sz="4" w:space="0"/>
              <w:right w:val="single" w:color="auto" w:sz="4" w:space="0"/>
            </w:tcBorders>
            <w:vAlign w:val="center"/>
          </w:tcPr>
          <w:p>
            <w:pPr>
              <w:spacing w:line="280" w:lineRule="exact"/>
              <w:jc w:val="center"/>
              <w:rPr>
                <w:rFonts w:ascii="宋体" w:hAnsi="宋体" w:eastAsia="宋体"/>
                <w:color w:val="000000"/>
                <w:szCs w:val="21"/>
              </w:rPr>
            </w:pPr>
            <w:r>
              <w:rPr>
                <w:rFonts w:ascii="宋体" w:hAnsi="宋体" w:eastAsia="宋体"/>
                <w:color w:val="000000"/>
                <w:szCs w:val="21"/>
              </w:rPr>
              <w:t>10</w:t>
            </w:r>
          </w:p>
        </w:tc>
        <w:tc>
          <w:tcPr>
            <w:tcW w:w="851" w:type="dxa"/>
            <w:tcBorders>
              <w:top w:val="single" w:color="auto" w:sz="4" w:space="0"/>
              <w:left w:val="nil"/>
              <w:bottom w:val="single" w:color="auto" w:sz="4" w:space="0"/>
              <w:right w:val="single" w:color="auto" w:sz="4" w:space="0"/>
            </w:tcBorders>
            <w:vAlign w:val="center"/>
          </w:tcPr>
          <w:p>
            <w:pPr>
              <w:widowControl/>
              <w:spacing w:line="280" w:lineRule="exact"/>
              <w:jc w:val="center"/>
              <w:rPr>
                <w:rFonts w:ascii="宋体" w:hAnsi="宋体" w:eastAsia="宋体"/>
                <w:color w:val="000000"/>
                <w:kern w:val="0"/>
                <w:szCs w:val="21"/>
              </w:rPr>
            </w:pPr>
          </w:p>
        </w:tc>
      </w:tr>
      <w:tr>
        <w:trPr>
          <w:trHeight w:val="564" w:hRule="atLeast"/>
        </w:trPr>
        <w:tc>
          <w:tcPr>
            <w:tcW w:w="824"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eastAsia="宋体"/>
                <w:color w:val="000000"/>
                <w:sz w:val="24"/>
                <w:szCs w:val="24"/>
              </w:rPr>
            </w:pPr>
            <w:r>
              <w:rPr>
                <w:rFonts w:hint="eastAsia" w:ascii="宋体" w:hAnsi="宋体" w:eastAsia="宋体"/>
                <w:color w:val="000000"/>
                <w:sz w:val="24"/>
                <w:szCs w:val="24"/>
              </w:rPr>
              <w:t>3</w:t>
            </w:r>
          </w:p>
        </w:tc>
        <w:tc>
          <w:tcPr>
            <w:tcW w:w="736"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eastAsia="宋体"/>
                <w:b/>
                <w:bCs/>
                <w:color w:val="000000"/>
                <w:szCs w:val="21"/>
              </w:rPr>
            </w:pPr>
            <w:r>
              <w:rPr>
                <w:rFonts w:hint="eastAsia" w:ascii="宋体" w:hAnsi="宋体" w:eastAsia="宋体"/>
                <w:b/>
                <w:bCs/>
                <w:color w:val="000000"/>
                <w:szCs w:val="21"/>
              </w:rPr>
              <w:t>教学</w:t>
            </w:r>
          </w:p>
          <w:p>
            <w:pPr>
              <w:spacing w:line="280" w:lineRule="exact"/>
              <w:jc w:val="center"/>
              <w:rPr>
                <w:rFonts w:ascii="宋体" w:hAnsi="宋体" w:eastAsia="宋体"/>
                <w:b/>
                <w:bCs/>
                <w:color w:val="000000"/>
                <w:szCs w:val="21"/>
              </w:rPr>
            </w:pPr>
            <w:r>
              <w:rPr>
                <w:rFonts w:hint="eastAsia" w:ascii="宋体" w:hAnsi="宋体" w:eastAsia="宋体"/>
                <w:b/>
                <w:bCs/>
                <w:color w:val="000000"/>
                <w:szCs w:val="21"/>
              </w:rPr>
              <w:t>组织</w:t>
            </w:r>
          </w:p>
        </w:tc>
        <w:tc>
          <w:tcPr>
            <w:tcW w:w="6203" w:type="dxa"/>
            <w:gridSpan w:val="2"/>
            <w:tcBorders>
              <w:top w:val="nil"/>
              <w:left w:val="single" w:color="auto" w:sz="4" w:space="0"/>
              <w:bottom w:val="single" w:color="auto" w:sz="4" w:space="0"/>
              <w:right w:val="nil"/>
            </w:tcBorders>
            <w:vAlign w:val="center"/>
          </w:tcPr>
          <w:p>
            <w:pPr>
              <w:spacing w:line="280" w:lineRule="exact"/>
              <w:jc w:val="left"/>
              <w:rPr>
                <w:rFonts w:ascii="宋体" w:hAnsi="宋体" w:eastAsia="宋体"/>
                <w:color w:val="000000"/>
                <w:szCs w:val="21"/>
              </w:rPr>
            </w:pPr>
            <w:r>
              <w:rPr>
                <w:rFonts w:hint="eastAsia" w:ascii="宋体" w:hAnsi="宋体" w:eastAsia="宋体"/>
                <w:color w:val="000000"/>
                <w:szCs w:val="21"/>
              </w:rPr>
              <w:t>科学安排实验教学进程，合理分配讲解与实验操作时间。</w:t>
            </w:r>
          </w:p>
        </w:tc>
        <w:tc>
          <w:tcPr>
            <w:tcW w:w="1309" w:type="dxa"/>
            <w:tcBorders>
              <w:top w:val="nil"/>
              <w:left w:val="single" w:color="auto" w:sz="4" w:space="0"/>
              <w:bottom w:val="single" w:color="000000" w:sz="4" w:space="0"/>
              <w:right w:val="single" w:color="auto" w:sz="4" w:space="0"/>
            </w:tcBorders>
            <w:vAlign w:val="center"/>
          </w:tcPr>
          <w:p>
            <w:pPr>
              <w:spacing w:line="280" w:lineRule="exact"/>
              <w:jc w:val="center"/>
              <w:rPr>
                <w:rFonts w:ascii="宋体" w:hAnsi="宋体" w:eastAsia="宋体"/>
                <w:color w:val="000000"/>
                <w:szCs w:val="21"/>
              </w:rPr>
            </w:pPr>
            <w:r>
              <w:rPr>
                <w:rFonts w:hint="eastAsia" w:ascii="宋体" w:hAnsi="宋体" w:eastAsia="宋体"/>
                <w:color w:val="000000"/>
                <w:szCs w:val="21"/>
              </w:rPr>
              <w:t>1</w:t>
            </w:r>
            <w:r>
              <w:rPr>
                <w:rFonts w:ascii="宋体" w:hAnsi="宋体" w:eastAsia="宋体"/>
                <w:color w:val="000000"/>
                <w:szCs w:val="21"/>
              </w:rPr>
              <w:t>0</w:t>
            </w:r>
          </w:p>
        </w:tc>
        <w:tc>
          <w:tcPr>
            <w:tcW w:w="851" w:type="dxa"/>
            <w:tcBorders>
              <w:top w:val="nil"/>
              <w:left w:val="nil"/>
              <w:bottom w:val="single" w:color="auto" w:sz="4" w:space="0"/>
              <w:right w:val="single" w:color="auto" w:sz="4" w:space="0"/>
            </w:tcBorders>
            <w:vAlign w:val="center"/>
          </w:tcPr>
          <w:p>
            <w:pPr>
              <w:widowControl/>
              <w:spacing w:line="280" w:lineRule="exact"/>
              <w:jc w:val="center"/>
              <w:rPr>
                <w:rFonts w:ascii="宋体" w:hAnsi="宋体" w:eastAsia="宋体"/>
                <w:color w:val="000000"/>
                <w:kern w:val="0"/>
                <w:szCs w:val="21"/>
              </w:rPr>
            </w:pPr>
          </w:p>
        </w:tc>
      </w:tr>
      <w:tr>
        <w:trPr>
          <w:trHeight w:val="449" w:hRule="atLeast"/>
        </w:trPr>
        <w:tc>
          <w:tcPr>
            <w:tcW w:w="824" w:type="dxa"/>
            <w:vMerge w:val="continue"/>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eastAsia="宋体"/>
                <w:color w:val="000000"/>
                <w:sz w:val="24"/>
                <w:szCs w:val="24"/>
              </w:rPr>
            </w:pPr>
          </w:p>
        </w:tc>
        <w:tc>
          <w:tcPr>
            <w:tcW w:w="736" w:type="dxa"/>
            <w:vMerge w:val="continue"/>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eastAsia="宋体"/>
                <w:b/>
                <w:bCs/>
                <w:color w:val="000000"/>
                <w:szCs w:val="21"/>
              </w:rPr>
            </w:pPr>
          </w:p>
        </w:tc>
        <w:tc>
          <w:tcPr>
            <w:tcW w:w="6203" w:type="dxa"/>
            <w:gridSpan w:val="2"/>
            <w:tcBorders>
              <w:top w:val="nil"/>
              <w:left w:val="single" w:color="auto" w:sz="4" w:space="0"/>
              <w:bottom w:val="single" w:color="auto" w:sz="4" w:space="0"/>
              <w:right w:val="nil"/>
            </w:tcBorders>
            <w:vAlign w:val="center"/>
          </w:tcPr>
          <w:p>
            <w:pPr>
              <w:spacing w:line="280" w:lineRule="exact"/>
              <w:jc w:val="left"/>
              <w:rPr>
                <w:rFonts w:ascii="宋体" w:hAnsi="宋体" w:eastAsia="宋体"/>
                <w:color w:val="000000"/>
                <w:szCs w:val="21"/>
              </w:rPr>
            </w:pPr>
            <w:r>
              <w:rPr>
                <w:rFonts w:hint="eastAsia" w:ascii="宋体" w:hAnsi="宋体" w:eastAsia="宋体"/>
                <w:color w:val="000000"/>
                <w:szCs w:val="21"/>
              </w:rPr>
              <w:t>分组人数适当，保证学生有独立完成实验的机会。</w:t>
            </w:r>
          </w:p>
        </w:tc>
        <w:tc>
          <w:tcPr>
            <w:tcW w:w="1309" w:type="dxa"/>
            <w:tcBorders>
              <w:top w:val="nil"/>
              <w:left w:val="single" w:color="auto" w:sz="4" w:space="0"/>
              <w:bottom w:val="single" w:color="000000" w:sz="4" w:space="0"/>
              <w:right w:val="single" w:color="auto" w:sz="4" w:space="0"/>
            </w:tcBorders>
            <w:vAlign w:val="center"/>
          </w:tcPr>
          <w:p>
            <w:pPr>
              <w:spacing w:line="280" w:lineRule="exact"/>
              <w:jc w:val="center"/>
              <w:rPr>
                <w:rFonts w:ascii="宋体" w:hAnsi="宋体" w:eastAsia="宋体"/>
                <w:color w:val="000000"/>
                <w:szCs w:val="21"/>
              </w:rPr>
            </w:pPr>
            <w:r>
              <w:rPr>
                <w:rFonts w:hint="eastAsia" w:ascii="宋体" w:hAnsi="宋体" w:eastAsia="宋体"/>
                <w:color w:val="000000"/>
                <w:szCs w:val="21"/>
              </w:rPr>
              <w:t>10</w:t>
            </w:r>
          </w:p>
        </w:tc>
        <w:tc>
          <w:tcPr>
            <w:tcW w:w="851" w:type="dxa"/>
            <w:tcBorders>
              <w:top w:val="nil"/>
              <w:left w:val="nil"/>
              <w:bottom w:val="single" w:color="auto" w:sz="4" w:space="0"/>
              <w:right w:val="single" w:color="auto" w:sz="4" w:space="0"/>
            </w:tcBorders>
            <w:vAlign w:val="center"/>
          </w:tcPr>
          <w:p>
            <w:pPr>
              <w:widowControl/>
              <w:spacing w:line="280" w:lineRule="exact"/>
              <w:jc w:val="center"/>
              <w:rPr>
                <w:rFonts w:ascii="宋体" w:hAnsi="宋体" w:eastAsia="宋体"/>
                <w:color w:val="000000"/>
                <w:kern w:val="0"/>
                <w:szCs w:val="21"/>
              </w:rPr>
            </w:pPr>
          </w:p>
        </w:tc>
      </w:tr>
      <w:tr>
        <w:tblPrEx>
          <w:tblCellMar>
            <w:top w:w="0" w:type="dxa"/>
            <w:left w:w="108" w:type="dxa"/>
            <w:bottom w:w="0" w:type="dxa"/>
            <w:right w:w="108" w:type="dxa"/>
          </w:tblCellMar>
        </w:tblPrEx>
        <w:trPr>
          <w:trHeight w:val="624" w:hRule="atLeast"/>
        </w:trPr>
        <w:tc>
          <w:tcPr>
            <w:tcW w:w="824" w:type="dxa"/>
            <w:vMerge w:val="continue"/>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eastAsia="宋体"/>
                <w:color w:val="000000"/>
                <w:sz w:val="24"/>
                <w:szCs w:val="24"/>
              </w:rPr>
            </w:pPr>
          </w:p>
        </w:tc>
        <w:tc>
          <w:tcPr>
            <w:tcW w:w="736" w:type="dxa"/>
            <w:vMerge w:val="continue"/>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eastAsia="宋体" w:cs="宋体"/>
                <w:color w:val="000000"/>
                <w:szCs w:val="21"/>
              </w:rPr>
            </w:pPr>
          </w:p>
        </w:tc>
        <w:tc>
          <w:tcPr>
            <w:tcW w:w="6203" w:type="dxa"/>
            <w:gridSpan w:val="2"/>
            <w:tcBorders>
              <w:top w:val="nil"/>
              <w:left w:val="single" w:color="auto" w:sz="4" w:space="0"/>
              <w:bottom w:val="single" w:color="auto" w:sz="4" w:space="0"/>
              <w:right w:val="nil"/>
            </w:tcBorders>
            <w:vAlign w:val="center"/>
          </w:tcPr>
          <w:p>
            <w:pPr>
              <w:spacing w:line="280" w:lineRule="exact"/>
              <w:jc w:val="left"/>
              <w:rPr>
                <w:rFonts w:ascii="宋体" w:hAnsi="宋体" w:eastAsia="宋体"/>
                <w:color w:val="000000"/>
                <w:szCs w:val="21"/>
              </w:rPr>
            </w:pPr>
            <w:r>
              <w:rPr>
                <w:rFonts w:hint="eastAsia" w:ascii="宋体" w:hAnsi="宋体" w:eastAsia="宋体"/>
                <w:color w:val="000000"/>
                <w:szCs w:val="21"/>
              </w:rPr>
              <w:t>讲解具有启发性，重点难点突出；示范操作熟练、准确。</w:t>
            </w:r>
          </w:p>
        </w:tc>
        <w:tc>
          <w:tcPr>
            <w:tcW w:w="1309" w:type="dxa"/>
            <w:tcBorders>
              <w:top w:val="nil"/>
              <w:left w:val="single" w:color="auto" w:sz="4" w:space="0"/>
              <w:bottom w:val="single" w:color="000000" w:sz="4" w:space="0"/>
              <w:right w:val="single" w:color="auto" w:sz="4" w:space="0"/>
            </w:tcBorders>
            <w:vAlign w:val="center"/>
          </w:tcPr>
          <w:p>
            <w:pPr>
              <w:spacing w:line="280" w:lineRule="exact"/>
              <w:jc w:val="center"/>
              <w:rPr>
                <w:rFonts w:ascii="宋体" w:hAnsi="宋体" w:eastAsia="宋体"/>
                <w:color w:val="000000"/>
                <w:szCs w:val="21"/>
              </w:rPr>
            </w:pPr>
            <w:r>
              <w:rPr>
                <w:rFonts w:hint="eastAsia" w:ascii="宋体" w:hAnsi="宋体" w:eastAsia="宋体"/>
                <w:color w:val="000000"/>
                <w:szCs w:val="21"/>
              </w:rPr>
              <w:t>10</w:t>
            </w:r>
          </w:p>
        </w:tc>
        <w:tc>
          <w:tcPr>
            <w:tcW w:w="851" w:type="dxa"/>
            <w:tcBorders>
              <w:top w:val="nil"/>
              <w:left w:val="nil"/>
              <w:bottom w:val="single" w:color="auto" w:sz="4" w:space="0"/>
              <w:right w:val="single" w:color="auto" w:sz="4" w:space="0"/>
            </w:tcBorders>
            <w:vAlign w:val="center"/>
          </w:tcPr>
          <w:p>
            <w:pPr>
              <w:widowControl/>
              <w:spacing w:line="280" w:lineRule="exact"/>
              <w:jc w:val="center"/>
              <w:rPr>
                <w:rFonts w:ascii="宋体" w:hAnsi="宋体" w:eastAsia="宋体"/>
                <w:color w:val="000000"/>
                <w:kern w:val="0"/>
                <w:szCs w:val="21"/>
              </w:rPr>
            </w:pPr>
          </w:p>
        </w:tc>
      </w:tr>
      <w:tr>
        <w:tblPrEx>
          <w:tblCellMar>
            <w:top w:w="0" w:type="dxa"/>
            <w:left w:w="108" w:type="dxa"/>
            <w:bottom w:w="0" w:type="dxa"/>
            <w:right w:w="108" w:type="dxa"/>
          </w:tblCellMar>
        </w:tblPrEx>
        <w:trPr>
          <w:trHeight w:val="624" w:hRule="atLeast"/>
        </w:trPr>
        <w:tc>
          <w:tcPr>
            <w:tcW w:w="824" w:type="dxa"/>
            <w:vMerge w:val="continue"/>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eastAsia="宋体"/>
                <w:color w:val="000000"/>
                <w:sz w:val="24"/>
                <w:szCs w:val="24"/>
              </w:rPr>
            </w:pPr>
          </w:p>
        </w:tc>
        <w:tc>
          <w:tcPr>
            <w:tcW w:w="736" w:type="dxa"/>
            <w:vMerge w:val="continue"/>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eastAsia="宋体"/>
                <w:b/>
                <w:bCs/>
                <w:color w:val="000000"/>
                <w:szCs w:val="21"/>
              </w:rPr>
            </w:pPr>
          </w:p>
        </w:tc>
        <w:tc>
          <w:tcPr>
            <w:tcW w:w="6203" w:type="dxa"/>
            <w:gridSpan w:val="2"/>
            <w:tcBorders>
              <w:top w:val="nil"/>
              <w:left w:val="single" w:color="auto" w:sz="4" w:space="0"/>
              <w:bottom w:val="single" w:color="auto" w:sz="4" w:space="0"/>
              <w:right w:val="nil"/>
            </w:tcBorders>
            <w:vAlign w:val="center"/>
          </w:tcPr>
          <w:p>
            <w:pPr>
              <w:spacing w:line="280" w:lineRule="exact"/>
              <w:jc w:val="left"/>
              <w:rPr>
                <w:rFonts w:ascii="宋体" w:hAnsi="宋体" w:eastAsia="宋体"/>
                <w:color w:val="000000"/>
                <w:szCs w:val="21"/>
              </w:rPr>
            </w:pPr>
            <w:r>
              <w:rPr>
                <w:rFonts w:hint="eastAsia" w:ascii="宋体" w:hAnsi="宋体" w:eastAsia="宋体"/>
                <w:color w:val="000000"/>
                <w:szCs w:val="21"/>
              </w:rPr>
              <w:t>实验秩序良好，培育学生实验安全意识、爱护实验仪器设备的责任意识。</w:t>
            </w:r>
          </w:p>
        </w:tc>
        <w:tc>
          <w:tcPr>
            <w:tcW w:w="1309" w:type="dxa"/>
            <w:tcBorders>
              <w:top w:val="nil"/>
              <w:left w:val="single" w:color="auto" w:sz="4" w:space="0"/>
              <w:bottom w:val="single" w:color="000000" w:sz="4" w:space="0"/>
              <w:right w:val="single" w:color="auto" w:sz="4" w:space="0"/>
            </w:tcBorders>
            <w:vAlign w:val="center"/>
          </w:tcPr>
          <w:p>
            <w:pPr>
              <w:spacing w:line="280" w:lineRule="exact"/>
              <w:jc w:val="center"/>
              <w:rPr>
                <w:rFonts w:ascii="宋体" w:hAnsi="宋体" w:eastAsia="宋体"/>
                <w:color w:val="000000"/>
                <w:szCs w:val="21"/>
              </w:rPr>
            </w:pPr>
            <w:r>
              <w:rPr>
                <w:rFonts w:hint="eastAsia" w:ascii="宋体" w:hAnsi="宋体" w:eastAsia="宋体"/>
                <w:color w:val="000000"/>
                <w:szCs w:val="21"/>
              </w:rPr>
              <w:t>1</w:t>
            </w:r>
            <w:r>
              <w:rPr>
                <w:rFonts w:ascii="宋体" w:hAnsi="宋体" w:eastAsia="宋体"/>
                <w:color w:val="000000"/>
                <w:szCs w:val="21"/>
              </w:rPr>
              <w:t>0</w:t>
            </w:r>
          </w:p>
        </w:tc>
        <w:tc>
          <w:tcPr>
            <w:tcW w:w="851" w:type="dxa"/>
            <w:tcBorders>
              <w:top w:val="nil"/>
              <w:left w:val="nil"/>
              <w:bottom w:val="single" w:color="auto" w:sz="4" w:space="0"/>
              <w:right w:val="single" w:color="auto" w:sz="4" w:space="0"/>
            </w:tcBorders>
            <w:vAlign w:val="center"/>
          </w:tcPr>
          <w:p>
            <w:pPr>
              <w:widowControl/>
              <w:spacing w:line="280" w:lineRule="exact"/>
              <w:jc w:val="center"/>
              <w:rPr>
                <w:rFonts w:ascii="宋体" w:hAnsi="宋体" w:eastAsia="宋体"/>
                <w:color w:val="000000"/>
                <w:kern w:val="0"/>
                <w:szCs w:val="21"/>
              </w:rPr>
            </w:pPr>
          </w:p>
        </w:tc>
      </w:tr>
      <w:tr>
        <w:tblPrEx>
          <w:tblCellMar>
            <w:top w:w="0" w:type="dxa"/>
            <w:left w:w="108" w:type="dxa"/>
            <w:bottom w:w="0" w:type="dxa"/>
            <w:right w:w="108" w:type="dxa"/>
          </w:tblCellMar>
        </w:tblPrEx>
        <w:trPr>
          <w:trHeight w:val="958" w:hRule="atLeast"/>
        </w:trPr>
        <w:tc>
          <w:tcPr>
            <w:tcW w:w="82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eastAsia="宋体"/>
                <w:color w:val="000000"/>
                <w:sz w:val="24"/>
                <w:szCs w:val="24"/>
              </w:rPr>
            </w:pPr>
            <w:r>
              <w:rPr>
                <w:rFonts w:hint="eastAsia" w:ascii="宋体" w:hAnsi="宋体" w:eastAsia="宋体"/>
                <w:color w:val="000000"/>
                <w:sz w:val="24"/>
                <w:szCs w:val="24"/>
              </w:rPr>
              <w:t>4</w:t>
            </w:r>
          </w:p>
        </w:tc>
        <w:tc>
          <w:tcPr>
            <w:tcW w:w="73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eastAsia="宋体"/>
                <w:color w:val="000000"/>
                <w:szCs w:val="21"/>
              </w:rPr>
            </w:pPr>
            <w:r>
              <w:rPr>
                <w:rFonts w:hint="eastAsia" w:ascii="宋体" w:hAnsi="宋体" w:eastAsia="宋体"/>
                <w:b/>
                <w:bCs/>
                <w:color w:val="000000"/>
                <w:szCs w:val="21"/>
              </w:rPr>
              <w:t>学习成效</w:t>
            </w:r>
          </w:p>
        </w:tc>
        <w:tc>
          <w:tcPr>
            <w:tcW w:w="6203" w:type="dxa"/>
            <w:gridSpan w:val="2"/>
            <w:tcBorders>
              <w:top w:val="single" w:color="auto" w:sz="4" w:space="0"/>
              <w:left w:val="single" w:color="auto" w:sz="4" w:space="0"/>
              <w:bottom w:val="single" w:color="auto" w:sz="4" w:space="0"/>
              <w:right w:val="nil"/>
            </w:tcBorders>
            <w:vAlign w:val="center"/>
          </w:tcPr>
          <w:p>
            <w:pPr>
              <w:spacing w:line="280" w:lineRule="exact"/>
              <w:jc w:val="left"/>
              <w:rPr>
                <w:rFonts w:ascii="宋体" w:hAnsi="宋体" w:eastAsia="宋体"/>
                <w:color w:val="000000"/>
                <w:szCs w:val="21"/>
              </w:rPr>
            </w:pPr>
            <w:r>
              <w:rPr>
                <w:rFonts w:hint="eastAsia" w:ascii="宋体" w:hAnsi="宋体" w:eastAsia="宋体"/>
                <w:color w:val="000000"/>
                <w:szCs w:val="21"/>
              </w:rPr>
              <w:t>课堂互动活跃，引导学生主动思考、积极动手、认真观察；</w:t>
            </w:r>
          </w:p>
          <w:p>
            <w:pPr>
              <w:spacing w:line="280" w:lineRule="exact"/>
              <w:jc w:val="left"/>
              <w:rPr>
                <w:rFonts w:ascii="宋体" w:hAnsi="宋体" w:eastAsia="宋体"/>
                <w:color w:val="000000"/>
                <w:szCs w:val="21"/>
              </w:rPr>
            </w:pPr>
            <w:r>
              <w:rPr>
                <w:rFonts w:hint="eastAsia" w:ascii="宋体" w:hAnsi="宋体" w:eastAsia="宋体"/>
                <w:color w:val="000000"/>
                <w:szCs w:val="21"/>
              </w:rPr>
              <w:t>学生能够按照实验要求和操作规范，独立完成实验。</w:t>
            </w:r>
          </w:p>
        </w:tc>
        <w:tc>
          <w:tcPr>
            <w:tcW w:w="1309" w:type="dxa"/>
            <w:tcBorders>
              <w:top w:val="nil"/>
              <w:left w:val="single" w:color="auto" w:sz="4" w:space="0"/>
              <w:bottom w:val="single" w:color="000000" w:sz="4" w:space="0"/>
              <w:right w:val="single" w:color="auto" w:sz="4" w:space="0"/>
            </w:tcBorders>
            <w:vAlign w:val="center"/>
          </w:tcPr>
          <w:p>
            <w:pPr>
              <w:spacing w:line="280" w:lineRule="exact"/>
              <w:jc w:val="center"/>
              <w:rPr>
                <w:rFonts w:ascii="宋体" w:hAnsi="宋体" w:eastAsia="宋体"/>
                <w:color w:val="000000"/>
                <w:szCs w:val="21"/>
              </w:rPr>
            </w:pPr>
            <w:r>
              <w:rPr>
                <w:rFonts w:hint="eastAsia" w:ascii="宋体" w:hAnsi="宋体" w:eastAsia="宋体"/>
                <w:color w:val="000000"/>
                <w:szCs w:val="21"/>
              </w:rPr>
              <w:t>10</w:t>
            </w:r>
          </w:p>
        </w:tc>
        <w:tc>
          <w:tcPr>
            <w:tcW w:w="851" w:type="dxa"/>
            <w:tcBorders>
              <w:top w:val="nil"/>
              <w:left w:val="nil"/>
              <w:bottom w:val="single" w:color="auto" w:sz="4" w:space="0"/>
              <w:right w:val="single" w:color="auto" w:sz="4" w:space="0"/>
            </w:tcBorders>
            <w:vAlign w:val="center"/>
          </w:tcPr>
          <w:p>
            <w:pPr>
              <w:widowControl/>
              <w:spacing w:line="280" w:lineRule="exact"/>
              <w:jc w:val="center"/>
              <w:rPr>
                <w:rFonts w:ascii="宋体" w:hAnsi="宋体" w:eastAsia="宋体"/>
                <w:color w:val="000000"/>
                <w:kern w:val="0"/>
                <w:szCs w:val="21"/>
              </w:rPr>
            </w:pPr>
          </w:p>
        </w:tc>
      </w:tr>
      <w:tr>
        <w:tblPrEx>
          <w:tblCellMar>
            <w:top w:w="0" w:type="dxa"/>
            <w:left w:w="108" w:type="dxa"/>
            <w:bottom w:w="0" w:type="dxa"/>
            <w:right w:w="108" w:type="dxa"/>
          </w:tblCellMar>
        </w:tblPrEx>
        <w:trPr>
          <w:trHeight w:val="2673" w:hRule="atLeast"/>
        </w:trPr>
        <w:tc>
          <w:tcPr>
            <w:tcW w:w="9923" w:type="dxa"/>
            <w:gridSpan w:val="6"/>
            <w:tcBorders>
              <w:top w:val="nil"/>
              <w:left w:val="single" w:color="auto" w:sz="4" w:space="0"/>
              <w:bottom w:val="single" w:color="auto" w:sz="4" w:space="0"/>
              <w:right w:val="single" w:color="auto" w:sz="4" w:space="0"/>
            </w:tcBorders>
            <w:noWrap/>
          </w:tcPr>
          <w:p>
            <w:pPr>
              <w:widowControl/>
              <w:adjustRightInd w:val="0"/>
              <w:snapToGrid w:val="0"/>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总体</w:t>
            </w:r>
            <w:r>
              <w:rPr>
                <w:rFonts w:ascii="宋体" w:hAnsi="宋体" w:eastAsia="宋体" w:cs="宋体"/>
                <w:b/>
                <w:bCs/>
                <w:color w:val="000000"/>
                <w:kern w:val="0"/>
                <w:sz w:val="24"/>
                <w:szCs w:val="24"/>
              </w:rPr>
              <w:t>评价：</w:t>
            </w:r>
          </w:p>
          <w:p>
            <w:pPr>
              <w:widowControl/>
              <w:rPr>
                <w:rFonts w:ascii="宋体" w:hAnsi="宋体" w:eastAsia="宋体" w:cs="宋体"/>
                <w:color w:val="000000"/>
                <w:kern w:val="0"/>
                <w:szCs w:val="21"/>
              </w:rPr>
            </w:pPr>
          </w:p>
          <w:p>
            <w:pPr>
              <w:widowControl/>
              <w:rPr>
                <w:rFonts w:ascii="宋体" w:hAnsi="宋体" w:eastAsia="宋体" w:cs="宋体"/>
                <w:color w:val="000000"/>
                <w:kern w:val="0"/>
                <w:szCs w:val="21"/>
              </w:rPr>
            </w:pPr>
          </w:p>
          <w:p>
            <w:pPr>
              <w:widowControl/>
              <w:rPr>
                <w:rFonts w:ascii="宋体" w:hAnsi="宋体" w:eastAsia="宋体" w:cs="宋体"/>
                <w:color w:val="000000"/>
                <w:kern w:val="0"/>
                <w:szCs w:val="21"/>
              </w:rPr>
            </w:pPr>
          </w:p>
          <w:p>
            <w:pPr>
              <w:widowControl/>
              <w:rPr>
                <w:rFonts w:ascii="宋体" w:hAnsi="宋体" w:eastAsia="宋体" w:cs="宋体"/>
                <w:color w:val="000000"/>
                <w:kern w:val="0"/>
                <w:szCs w:val="21"/>
              </w:rPr>
            </w:pPr>
          </w:p>
          <w:p>
            <w:pPr>
              <w:widowControl/>
              <w:rPr>
                <w:rFonts w:ascii="宋体" w:hAnsi="宋体" w:eastAsia="宋体" w:cs="宋体"/>
                <w:color w:val="000000"/>
                <w:kern w:val="0"/>
                <w:szCs w:val="21"/>
              </w:rPr>
            </w:pPr>
            <w:r>
              <w:rPr>
                <w:rFonts w:hint="eastAsia" w:ascii="宋体" w:hAnsi="宋体" w:eastAsia="宋体" w:cs="宋体"/>
                <w:color w:val="000000"/>
                <w:kern w:val="0"/>
                <w:szCs w:val="21"/>
              </w:rPr>
              <w:t xml:space="preserve">                                             总分</w:t>
            </w:r>
            <w:r>
              <w:rPr>
                <w:rFonts w:ascii="宋体" w:hAnsi="宋体" w:eastAsia="宋体" w:cs="宋体"/>
                <w:color w:val="000000"/>
                <w:kern w:val="0"/>
                <w:szCs w:val="21"/>
              </w:rPr>
              <w:t>：</w:t>
            </w:r>
            <w:r>
              <w:rPr>
                <w:rFonts w:hint="eastAsia" w:ascii="宋体" w:hAnsi="宋体" w:eastAsia="宋体" w:cs="宋体"/>
                <w:color w:val="000000"/>
                <w:kern w:val="0"/>
                <w:szCs w:val="21"/>
              </w:rPr>
              <w:t xml:space="preserve">                  等级</w:t>
            </w:r>
            <w:r>
              <w:rPr>
                <w:rFonts w:ascii="宋体" w:hAnsi="宋体" w:eastAsia="宋体" w:cs="宋体"/>
                <w:color w:val="000000"/>
                <w:kern w:val="0"/>
                <w:szCs w:val="21"/>
              </w:rPr>
              <w:t>：</w:t>
            </w:r>
          </w:p>
        </w:tc>
      </w:tr>
    </w:tbl>
    <w:p>
      <w:pPr>
        <w:widowControl/>
        <w:tabs>
          <w:tab w:val="left" w:pos="105"/>
        </w:tabs>
        <w:ind w:left="-432"/>
        <w:jc w:val="left"/>
        <w:rPr>
          <w:rFonts w:ascii="宋体" w:hAnsi="宋体" w:eastAsia="宋体"/>
          <w:kern w:val="0"/>
          <w:szCs w:val="21"/>
        </w:rPr>
      </w:pPr>
      <w:r>
        <w:rPr>
          <w:rFonts w:hint="eastAsia" w:ascii="宋体" w:hAnsi="宋体" w:eastAsia="宋体" w:cs="宋体"/>
          <w:color w:val="000000"/>
          <w:kern w:val="0"/>
          <w:szCs w:val="21"/>
        </w:rPr>
        <w:t>注：</w:t>
      </w:r>
      <w:r>
        <w:rPr>
          <w:rFonts w:hint="eastAsia" w:ascii="宋体" w:hAnsi="宋体" w:eastAsia="宋体"/>
          <w:color w:val="000000"/>
          <w:kern w:val="0"/>
          <w:szCs w:val="21"/>
        </w:rPr>
        <w:t>总分在</w:t>
      </w:r>
      <w:r>
        <w:rPr>
          <w:rFonts w:ascii="宋体" w:hAnsi="宋体" w:eastAsia="宋体"/>
          <w:color w:val="000000"/>
          <w:kern w:val="0"/>
          <w:szCs w:val="21"/>
        </w:rPr>
        <w:t>88~100</w:t>
      </w:r>
      <w:r>
        <w:rPr>
          <w:rFonts w:hint="eastAsia" w:ascii="宋体" w:hAnsi="宋体" w:eastAsia="宋体"/>
          <w:color w:val="000000"/>
          <w:kern w:val="0"/>
          <w:szCs w:val="21"/>
        </w:rPr>
        <w:t>分为</w:t>
      </w:r>
      <w:r>
        <w:rPr>
          <w:rFonts w:ascii="宋体" w:hAnsi="宋体" w:eastAsia="宋体"/>
          <w:color w:val="000000"/>
          <w:kern w:val="0"/>
          <w:szCs w:val="21"/>
        </w:rPr>
        <w:t>A</w:t>
      </w:r>
      <w:r>
        <w:rPr>
          <w:rFonts w:hint="eastAsia" w:ascii="宋体" w:hAnsi="宋体" w:eastAsia="宋体"/>
          <w:color w:val="000000"/>
          <w:kern w:val="0"/>
          <w:szCs w:val="21"/>
        </w:rPr>
        <w:t>级；</w:t>
      </w:r>
      <w:r>
        <w:rPr>
          <w:rFonts w:ascii="宋体" w:hAnsi="宋体" w:eastAsia="宋体"/>
          <w:color w:val="000000"/>
          <w:kern w:val="0"/>
          <w:szCs w:val="21"/>
        </w:rPr>
        <w:t>76~87</w:t>
      </w:r>
      <w:r>
        <w:rPr>
          <w:rFonts w:hint="eastAsia" w:ascii="宋体" w:hAnsi="宋体" w:eastAsia="宋体"/>
          <w:color w:val="000000"/>
          <w:kern w:val="0"/>
          <w:szCs w:val="21"/>
        </w:rPr>
        <w:t>分为</w:t>
      </w:r>
      <w:r>
        <w:rPr>
          <w:rFonts w:ascii="宋体" w:hAnsi="宋体" w:eastAsia="宋体"/>
          <w:color w:val="000000"/>
          <w:kern w:val="0"/>
          <w:szCs w:val="21"/>
        </w:rPr>
        <w:t>B</w:t>
      </w:r>
      <w:r>
        <w:rPr>
          <w:rFonts w:hint="eastAsia" w:ascii="宋体" w:hAnsi="宋体" w:eastAsia="宋体"/>
          <w:color w:val="000000"/>
          <w:kern w:val="0"/>
          <w:szCs w:val="21"/>
        </w:rPr>
        <w:t>级；</w:t>
      </w:r>
      <w:r>
        <w:rPr>
          <w:rFonts w:ascii="宋体" w:hAnsi="宋体" w:eastAsia="宋体"/>
          <w:color w:val="000000"/>
          <w:kern w:val="0"/>
          <w:szCs w:val="21"/>
        </w:rPr>
        <w:t>60~75</w:t>
      </w:r>
      <w:r>
        <w:rPr>
          <w:rFonts w:hint="eastAsia" w:ascii="宋体" w:hAnsi="宋体" w:eastAsia="宋体"/>
          <w:color w:val="000000"/>
          <w:kern w:val="0"/>
          <w:szCs w:val="21"/>
        </w:rPr>
        <w:t>分为</w:t>
      </w:r>
      <w:r>
        <w:rPr>
          <w:rFonts w:ascii="宋体" w:hAnsi="宋体" w:eastAsia="宋体"/>
          <w:color w:val="000000"/>
          <w:kern w:val="0"/>
          <w:szCs w:val="21"/>
        </w:rPr>
        <w:t>C</w:t>
      </w:r>
      <w:r>
        <w:rPr>
          <w:rFonts w:hint="eastAsia" w:ascii="宋体" w:hAnsi="宋体" w:eastAsia="宋体"/>
          <w:color w:val="000000"/>
          <w:kern w:val="0"/>
          <w:szCs w:val="21"/>
        </w:rPr>
        <w:t>级；低</w:t>
      </w:r>
      <w:r>
        <w:rPr>
          <w:rFonts w:hint="eastAsia" w:ascii="宋体" w:hAnsi="宋体" w:eastAsia="宋体"/>
          <w:kern w:val="0"/>
          <w:szCs w:val="21"/>
        </w:rPr>
        <w:t>于</w:t>
      </w:r>
      <w:r>
        <w:rPr>
          <w:rFonts w:ascii="宋体" w:hAnsi="宋体" w:eastAsia="宋体"/>
          <w:kern w:val="0"/>
          <w:szCs w:val="21"/>
        </w:rPr>
        <w:t>60</w:t>
      </w:r>
      <w:r>
        <w:rPr>
          <w:rFonts w:hint="eastAsia" w:ascii="宋体" w:hAnsi="宋体" w:eastAsia="宋体"/>
          <w:kern w:val="0"/>
          <w:szCs w:val="21"/>
        </w:rPr>
        <w:t>分为</w:t>
      </w:r>
      <w:r>
        <w:rPr>
          <w:rFonts w:ascii="宋体" w:hAnsi="宋体" w:eastAsia="宋体"/>
          <w:kern w:val="0"/>
          <w:szCs w:val="21"/>
        </w:rPr>
        <w:t>D</w:t>
      </w:r>
      <w:r>
        <w:rPr>
          <w:rFonts w:hint="eastAsia" w:ascii="宋体" w:hAnsi="宋体" w:eastAsia="宋体"/>
          <w:kern w:val="0"/>
          <w:szCs w:val="21"/>
        </w:rPr>
        <w:t>级。</w:t>
      </w:r>
      <w:r>
        <w:rPr>
          <w:rFonts w:ascii="宋体" w:hAnsi="宋体" w:eastAsia="宋体"/>
          <w:kern w:val="0"/>
          <w:szCs w:val="21"/>
        </w:rPr>
        <w:t xml:space="preserve">                                                                                                                                                                                                                                                                                                                       </w:t>
      </w:r>
      <w:r>
        <w:rPr>
          <w:rFonts w:hint="eastAsia" w:ascii="宋体" w:hAnsi="宋体" w:eastAsia="宋体"/>
          <w:kern w:val="0"/>
          <w:szCs w:val="21"/>
        </w:rPr>
        <w:t>评价人</w:t>
      </w:r>
      <w:r>
        <w:rPr>
          <w:rFonts w:hint="eastAsia" w:ascii="宋体" w:hAnsi="宋体" w:eastAsia="宋体" w:cs="宋体"/>
          <w:kern w:val="0"/>
          <w:szCs w:val="21"/>
        </w:rPr>
        <w:t>（签名）</w:t>
      </w:r>
      <w:r>
        <w:rPr>
          <w:rFonts w:hint="eastAsia" w:ascii="宋体" w:hAnsi="宋体" w:eastAsia="宋体"/>
          <w:kern w:val="0"/>
          <w:szCs w:val="21"/>
        </w:rPr>
        <w:t>：</w:t>
      </w:r>
      <w:r>
        <w:rPr>
          <w:rFonts w:ascii="宋体" w:hAnsi="宋体" w:eastAsia="宋体"/>
          <w:kern w:val="0"/>
          <w:szCs w:val="21"/>
        </w:rPr>
        <w:t xml:space="preserve">                           </w:t>
      </w:r>
      <w:r>
        <w:rPr>
          <w:rFonts w:hint="eastAsia" w:ascii="宋体" w:hAnsi="宋体" w:eastAsia="宋体"/>
          <w:kern w:val="0"/>
          <w:szCs w:val="21"/>
        </w:rPr>
        <w:t>日期：</w:t>
      </w:r>
      <w:r>
        <w:rPr>
          <w:rFonts w:hint="eastAsia" w:ascii="宋体" w:hAnsi="宋体" w:eastAsia="宋体"/>
          <w:kern w:val="0"/>
          <w:szCs w:val="21"/>
          <w:u w:val="single"/>
        </w:rPr>
        <w:t xml:space="preserve"> </w:t>
      </w:r>
      <w:r>
        <w:rPr>
          <w:rFonts w:ascii="宋体" w:hAnsi="宋体" w:eastAsia="宋体"/>
          <w:kern w:val="0"/>
          <w:szCs w:val="21"/>
          <w:u w:val="single"/>
        </w:rPr>
        <w:t xml:space="preserve"> </w:t>
      </w:r>
      <w:r>
        <w:rPr>
          <w:rFonts w:hint="eastAsia" w:ascii="宋体" w:hAnsi="宋体" w:eastAsia="宋体"/>
          <w:kern w:val="0"/>
          <w:szCs w:val="21"/>
          <w:u w:val="single"/>
        </w:rPr>
        <w:t xml:space="preserve">    </w:t>
      </w:r>
      <w:r>
        <w:rPr>
          <w:rFonts w:hint="eastAsia" w:ascii="宋体" w:hAnsi="宋体" w:eastAsia="宋体"/>
          <w:kern w:val="0"/>
          <w:szCs w:val="21"/>
        </w:rPr>
        <w:t>年</w:t>
      </w:r>
      <w:r>
        <w:rPr>
          <w:rFonts w:hint="eastAsia" w:ascii="宋体" w:hAnsi="宋体" w:eastAsia="宋体"/>
          <w:kern w:val="0"/>
          <w:szCs w:val="21"/>
          <w:u w:val="single"/>
        </w:rPr>
        <w:t xml:space="preserve"> </w:t>
      </w:r>
      <w:r>
        <w:rPr>
          <w:rFonts w:ascii="宋体" w:hAnsi="宋体" w:eastAsia="宋体"/>
          <w:kern w:val="0"/>
          <w:szCs w:val="21"/>
          <w:u w:val="single"/>
        </w:rPr>
        <w:t xml:space="preserve"> </w:t>
      </w:r>
      <w:r>
        <w:rPr>
          <w:rFonts w:hint="eastAsia" w:ascii="宋体" w:hAnsi="宋体" w:eastAsia="宋体"/>
          <w:kern w:val="0"/>
          <w:szCs w:val="21"/>
          <w:u w:val="single"/>
        </w:rPr>
        <w:t xml:space="preserve"> </w:t>
      </w:r>
      <w:r>
        <w:rPr>
          <w:rFonts w:hint="eastAsia" w:ascii="宋体" w:hAnsi="宋体" w:eastAsia="宋体"/>
          <w:kern w:val="0"/>
          <w:szCs w:val="21"/>
        </w:rPr>
        <w:t>月</w:t>
      </w:r>
      <w:r>
        <w:rPr>
          <w:rFonts w:hint="eastAsia" w:ascii="宋体" w:hAnsi="宋体" w:eastAsia="宋体"/>
          <w:kern w:val="0"/>
          <w:szCs w:val="21"/>
          <w:u w:val="single"/>
        </w:rPr>
        <w:t xml:space="preserve"> </w:t>
      </w:r>
      <w:r>
        <w:rPr>
          <w:rFonts w:ascii="宋体" w:hAnsi="宋体" w:eastAsia="宋体"/>
          <w:kern w:val="0"/>
          <w:szCs w:val="21"/>
          <w:u w:val="single"/>
        </w:rPr>
        <w:t xml:space="preserve"> </w:t>
      </w:r>
      <w:r>
        <w:rPr>
          <w:rFonts w:hint="eastAsia" w:ascii="宋体" w:hAnsi="宋体" w:eastAsia="宋体"/>
          <w:kern w:val="0"/>
          <w:szCs w:val="21"/>
          <w:u w:val="single"/>
        </w:rPr>
        <w:t xml:space="preserve"> </w:t>
      </w:r>
      <w:r>
        <w:rPr>
          <w:rFonts w:hint="eastAsia" w:ascii="宋体" w:hAnsi="宋体" w:eastAsia="宋体"/>
          <w:kern w:val="0"/>
          <w:szCs w:val="21"/>
        </w:rPr>
        <w:t>日</w:t>
      </w:r>
      <w:r>
        <w:rPr>
          <w:rFonts w:ascii="宋体" w:hAnsi="宋体" w:eastAsia="宋体"/>
          <w:kern w:val="0"/>
          <w:szCs w:val="21"/>
        </w:rPr>
        <w:t>第</w:t>
      </w:r>
      <w:r>
        <w:rPr>
          <w:rFonts w:hint="eastAsia" w:ascii="宋体" w:hAnsi="宋体" w:eastAsia="宋体"/>
          <w:kern w:val="0"/>
          <w:szCs w:val="21"/>
          <w:u w:val="single"/>
        </w:rPr>
        <w:t xml:space="preserve">     </w:t>
      </w:r>
      <w:r>
        <w:rPr>
          <w:rFonts w:hint="eastAsia" w:ascii="宋体" w:hAnsi="宋体" w:eastAsia="宋体"/>
          <w:kern w:val="0"/>
          <w:szCs w:val="21"/>
        </w:rPr>
        <w:t>节</w:t>
      </w:r>
    </w:p>
    <w:p>
      <w:pPr>
        <w:widowControl/>
        <w:tabs>
          <w:tab w:val="left" w:pos="105"/>
        </w:tabs>
        <w:ind w:left="-432"/>
        <w:jc w:val="left"/>
      </w:pPr>
      <w:r>
        <w:rPr>
          <w:rFonts w:asciiTheme="minorEastAsia" w:hAnsiTheme="minorEastAsia"/>
          <w:sz w:val="28"/>
          <w:szCs w:val="28"/>
        </w:rPr>
        <w:br w:type="page"/>
      </w:r>
    </w:p>
    <w:p>
      <w:pPr>
        <w:pStyle w:val="2"/>
        <w:spacing w:line="360" w:lineRule="auto"/>
        <w:jc w:val="center"/>
        <w:rPr>
          <w:rFonts w:asciiTheme="minorEastAsia" w:hAnsiTheme="minorEastAsia"/>
          <w:b w:val="0"/>
          <w:bCs w:val="0"/>
          <w:sz w:val="24"/>
          <w:szCs w:val="24"/>
        </w:rPr>
      </w:pPr>
      <w:bookmarkStart w:id="20" w:name="_Toc131671184"/>
      <w:r>
        <w:rPr>
          <w:rFonts w:hint="eastAsia"/>
          <w:sz w:val="36"/>
          <w:szCs w:val="36"/>
        </w:rPr>
        <w:t>四、理论研究工程</w:t>
      </w:r>
      <w:bookmarkEnd w:id="20"/>
    </w:p>
    <w:p>
      <w:pPr>
        <w:pStyle w:val="2"/>
        <w:spacing w:before="0" w:after="0" w:line="360" w:lineRule="auto"/>
        <w:ind w:firstLine="602" w:firstLineChars="200"/>
        <w:jc w:val="left"/>
        <w:rPr>
          <w:rFonts w:asciiTheme="minorEastAsia" w:hAnsiTheme="minorEastAsia"/>
          <w:sz w:val="30"/>
          <w:szCs w:val="30"/>
        </w:rPr>
      </w:pPr>
      <w:bookmarkStart w:id="21" w:name="_Toc131671185"/>
      <w:r>
        <w:rPr>
          <w:rFonts w:hint="eastAsia" w:asciiTheme="minorEastAsia" w:hAnsiTheme="minorEastAsia"/>
          <w:sz w:val="30"/>
          <w:szCs w:val="30"/>
        </w:rPr>
        <w:t>（一）课程思政理论研究课题一览表</w:t>
      </w:r>
      <w:bookmarkEnd w:id="21"/>
    </w:p>
    <w:tbl>
      <w:tblPr>
        <w:tblStyle w:val="11"/>
        <w:tblW w:w="9573" w:type="dxa"/>
        <w:jc w:val="center"/>
        <w:tblLayout w:type="fixed"/>
        <w:tblCellMar>
          <w:top w:w="15" w:type="dxa"/>
          <w:left w:w="15" w:type="dxa"/>
          <w:bottom w:w="15" w:type="dxa"/>
          <w:right w:w="15" w:type="dxa"/>
        </w:tblCellMar>
      </w:tblPr>
      <w:tblGrid>
        <w:gridCol w:w="737"/>
        <w:gridCol w:w="1288"/>
        <w:gridCol w:w="1082"/>
        <w:gridCol w:w="4441"/>
        <w:gridCol w:w="1050"/>
        <w:gridCol w:w="975"/>
      </w:tblGrid>
      <w:tr>
        <w:tblPrEx>
          <w:tblCellMar>
            <w:top w:w="15" w:type="dxa"/>
            <w:left w:w="15" w:type="dxa"/>
            <w:bottom w:w="15" w:type="dxa"/>
            <w:right w:w="15" w:type="dxa"/>
          </w:tblCellMar>
        </w:tblPrEx>
        <w:trPr>
          <w:trHeight w:val="62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b/>
                <w:bCs/>
                <w:kern w:val="0"/>
                <w:sz w:val="24"/>
                <w:szCs w:val="24"/>
              </w:rPr>
            </w:pPr>
            <w:r>
              <w:rPr>
                <w:rFonts w:hint="eastAsia" w:ascii="宋体" w:hAnsi="宋体" w:eastAsia="宋体" w:cs="宋体"/>
                <w:b/>
                <w:bCs/>
                <w:kern w:val="0"/>
                <w:sz w:val="24"/>
                <w:szCs w:val="24"/>
              </w:rPr>
              <w:t>序号</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b/>
                <w:bCs/>
                <w:kern w:val="0"/>
                <w:sz w:val="24"/>
                <w:szCs w:val="24"/>
              </w:rPr>
            </w:pPr>
            <w:r>
              <w:rPr>
                <w:rFonts w:hint="eastAsia" w:ascii="宋体" w:hAnsi="宋体" w:eastAsia="宋体" w:cs="宋体"/>
                <w:b/>
                <w:bCs/>
                <w:kern w:val="0"/>
                <w:sz w:val="24"/>
                <w:szCs w:val="24"/>
              </w:rPr>
              <w:t>学院/部门</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b/>
                <w:bCs/>
                <w:kern w:val="0"/>
                <w:sz w:val="24"/>
                <w:szCs w:val="24"/>
              </w:rPr>
            </w:pPr>
            <w:r>
              <w:rPr>
                <w:rFonts w:hint="eastAsia" w:ascii="宋体" w:hAnsi="宋体" w:eastAsia="宋体" w:cs="宋体"/>
                <w:b/>
                <w:bCs/>
                <w:kern w:val="0"/>
                <w:sz w:val="24"/>
                <w:szCs w:val="24"/>
              </w:rPr>
              <w:t>姓名</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rPr>
                <w:rFonts w:ascii="宋体" w:hAnsi="宋体" w:eastAsia="宋体" w:cs="宋体"/>
                <w:b/>
                <w:bCs/>
                <w:kern w:val="0"/>
                <w:sz w:val="24"/>
                <w:szCs w:val="24"/>
              </w:rPr>
            </w:pPr>
            <w:r>
              <w:rPr>
                <w:rFonts w:hint="eastAsia" w:ascii="宋体" w:hAnsi="宋体" w:eastAsia="宋体" w:cs="宋体"/>
                <w:b/>
                <w:bCs/>
                <w:kern w:val="0"/>
                <w:sz w:val="24"/>
                <w:szCs w:val="24"/>
              </w:rPr>
              <w:t>课程名称</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rPr>
                <w:rFonts w:ascii="宋体" w:hAnsi="宋体" w:eastAsia="宋体" w:cs="宋体"/>
                <w:b/>
                <w:bCs/>
                <w:kern w:val="0"/>
                <w:sz w:val="24"/>
                <w:szCs w:val="24"/>
              </w:rPr>
            </w:pPr>
            <w:r>
              <w:rPr>
                <w:rFonts w:hint="eastAsia" w:ascii="宋体" w:hAnsi="宋体" w:eastAsia="宋体" w:cs="宋体"/>
                <w:b/>
                <w:bCs/>
                <w:kern w:val="0"/>
                <w:sz w:val="24"/>
                <w:szCs w:val="24"/>
              </w:rPr>
              <w:t>课题级别</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rPr>
                <w:rFonts w:ascii="宋体" w:hAnsi="宋体" w:eastAsia="宋体" w:cs="宋体"/>
                <w:b/>
                <w:bCs/>
                <w:kern w:val="0"/>
                <w:sz w:val="24"/>
                <w:szCs w:val="24"/>
              </w:rPr>
            </w:pPr>
            <w:r>
              <w:rPr>
                <w:rFonts w:hint="eastAsia" w:ascii="宋体" w:hAnsi="宋体" w:eastAsia="宋体" w:cs="宋体"/>
                <w:b/>
                <w:bCs/>
                <w:kern w:val="0"/>
                <w:sz w:val="24"/>
                <w:szCs w:val="24"/>
              </w:rPr>
              <w:t>立项年份</w:t>
            </w:r>
          </w:p>
        </w:tc>
      </w:tr>
      <w:tr>
        <w:tblPrEx>
          <w:tblCellMar>
            <w:top w:w="15" w:type="dxa"/>
            <w:left w:w="15" w:type="dxa"/>
            <w:bottom w:w="15" w:type="dxa"/>
            <w:right w:w="15" w:type="dxa"/>
          </w:tblCellMar>
        </w:tblPrEx>
        <w:trPr>
          <w:trHeight w:val="4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马院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闫宇豪</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理与制：课程思政改革整体推进研究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重点课题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2020</w:t>
            </w:r>
          </w:p>
        </w:tc>
      </w:tr>
      <w:tr>
        <w:tblPrEx>
          <w:tblCellMar>
            <w:top w:w="15" w:type="dxa"/>
            <w:left w:w="15" w:type="dxa"/>
            <w:bottom w:w="15" w:type="dxa"/>
            <w:right w:w="15" w:type="dxa"/>
          </w:tblCellMar>
        </w:tblPrEx>
        <w:trPr>
          <w:trHeight w:val="4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经管学院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张义</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高校课程思政教师的职业使命感研究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重点课题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2020</w:t>
            </w:r>
          </w:p>
        </w:tc>
      </w:tr>
      <w:tr>
        <w:tblPrEx>
          <w:tblCellMar>
            <w:top w:w="15" w:type="dxa"/>
            <w:left w:w="15" w:type="dxa"/>
            <w:bottom w:w="15" w:type="dxa"/>
            <w:right w:w="15" w:type="dxa"/>
          </w:tblCellMar>
        </w:tblPrEx>
        <w:trPr>
          <w:trHeight w:val="654"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3</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城建学院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朱柳娟</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整体推进课程思政改革机制体制研究——以城市建设与安全工程学院为例</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重点课题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2020</w:t>
            </w:r>
          </w:p>
        </w:tc>
      </w:tr>
      <w:tr>
        <w:tblPrEx>
          <w:tblCellMar>
            <w:top w:w="15" w:type="dxa"/>
            <w:left w:w="15" w:type="dxa"/>
            <w:bottom w:w="15" w:type="dxa"/>
            <w:right w:w="15" w:type="dxa"/>
          </w:tblCellMar>
        </w:tblPrEx>
        <w:trPr>
          <w:trHeight w:val="4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4</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教工部</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熊亮</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课程思政“名师智库”培育工程研究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重点课题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2020</w:t>
            </w:r>
          </w:p>
        </w:tc>
      </w:tr>
      <w:tr>
        <w:tblPrEx>
          <w:tblCellMar>
            <w:top w:w="15" w:type="dxa"/>
            <w:left w:w="15" w:type="dxa"/>
            <w:bottom w:w="15" w:type="dxa"/>
            <w:right w:w="15" w:type="dxa"/>
          </w:tblCellMar>
        </w:tblPrEx>
        <w:trPr>
          <w:trHeight w:val="4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5</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教务处</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姜超</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课程思政全流程质量保障体系研究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重点课题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2020</w:t>
            </w:r>
          </w:p>
        </w:tc>
      </w:tr>
      <w:tr>
        <w:trPr>
          <w:trHeight w:val="536"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6</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化工学院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周义锋</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基于OBE理念的化工与制药类专业课程思政整体改革方案设计</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重点课题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2020</w:t>
            </w:r>
          </w:p>
        </w:tc>
      </w:tr>
      <w:tr>
        <w:tblPrEx>
          <w:tblCellMar>
            <w:top w:w="15" w:type="dxa"/>
            <w:left w:w="15" w:type="dxa"/>
            <w:bottom w:w="15" w:type="dxa"/>
            <w:right w:w="15" w:type="dxa"/>
          </w:tblCellMar>
        </w:tblPrEx>
        <w:trPr>
          <w:trHeight w:val="654"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7</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材料学院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张娜</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应用型高校校企合作“课程思政”教学运行机制研究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重点课题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2020</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8</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机械学院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张珂</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新工科理念背景下的金课建设—基于课程思政教学改革</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重点课题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2020</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9</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经管学院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王真</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基于OBE理念的经管类专业课程思政教学实践与育人机制研究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2020</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10</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马院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胡剑慧</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思政教师在高校课程思政建设中的作用研究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2020</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11</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工创学院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吴梦初</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面向专业建设的系统化课程思政教学规范研究—以电气工程及自动化专业为例</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2020</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12</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机械学院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张建国</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思政元素融入《测试技术》课程教学研究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2020</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13</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理学院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谭默言</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思政元素融入教师教学课堂方法研究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2020</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14</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化工学院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康丽琴</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应用型人才培养模式下有机化学实验课程思政建设研究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2020</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15</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马院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强成文</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大学生理论学习社团融入应用型本科高校课程思政有效路径研究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2020</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16</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机械学院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马轻轻</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课程思政方法创新研究—以《项目管理思维及方法》课程为例</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2020</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17</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团委</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周青</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文化育人视角下课程思政与应用型高校校园文化有效融合路径研究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2020</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18</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人文学院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周文</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人文社科类专业课程思政教学改革实践与探索</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2020</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19</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机械学院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付红红</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思政元素融入专业课程的方法研究—以机械类专业工程热力学及传热学专业基础课为例</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2020</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材料学院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刘敏</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思政元素融入金属类专业课程的课堂教学方法研究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2020</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21</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城建学院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赵前</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高校《建筑设计原理1》课程与思政教学协同创新研究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2020</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22</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经管学院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杨雪</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新时代高校课程思政建设协同创新机制研究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2020</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23</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材料学院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徐小威</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《建筑材料》专业课程思政建设</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2020</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24</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化工学院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张越</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大数据背景下高校课程思政方法创新研究——以大学生职业生涯规划课程为例</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2020</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25</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学工部</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吴敏</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高校“课程思政”与“思政课程“协同育人模式研究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2020</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26</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经管学院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谷冬青</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思政元素融入教学改革模式研究——基于《国际金融理论与实务》课程的研究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2020</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27</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外语学院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霍艳娟</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高校课程思政评价标准体系研究——以外语学科为例</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2020</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28</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工创学院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梁垚</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创新创业课程与《形势与政策》课程的协同创新研究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2020</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ascii="宋体" w:hAnsi="宋体" w:eastAsia="宋体" w:cs="宋体"/>
                <w:kern w:val="0"/>
                <w:sz w:val="24"/>
                <w:szCs w:val="24"/>
              </w:rPr>
              <w:t>29</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ascii="宋体" w:hAnsi="宋体" w:eastAsia="宋体" w:cs="宋体"/>
                <w:kern w:val="0"/>
                <w:sz w:val="24"/>
                <w:szCs w:val="24"/>
              </w:rPr>
              <w:t>宣传部</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ascii="宋体" w:hAnsi="宋体" w:eastAsia="宋体" w:cs="宋体"/>
                <w:kern w:val="0"/>
                <w:sz w:val="24"/>
                <w:szCs w:val="24"/>
              </w:rPr>
              <w:t>杨明</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课程思政持续推进体制机制研究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委托课题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2020</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ascii="宋体" w:hAnsi="宋体" w:eastAsia="宋体" w:cs="宋体"/>
                <w:kern w:val="0"/>
                <w:sz w:val="24"/>
                <w:szCs w:val="24"/>
              </w:rPr>
              <w:t>30</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ascii="宋体" w:hAnsi="宋体" w:eastAsia="宋体" w:cs="宋体"/>
                <w:kern w:val="0"/>
                <w:sz w:val="24"/>
                <w:szCs w:val="24"/>
              </w:rPr>
              <w:t>学工部</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ascii="宋体" w:hAnsi="宋体" w:eastAsia="宋体" w:cs="宋体"/>
                <w:kern w:val="0"/>
                <w:sz w:val="24"/>
                <w:szCs w:val="24"/>
              </w:rPr>
              <w:t>袁翔</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高校课程思政与校园文化活动的融合创新研究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委托课题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2020</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ascii="宋体" w:hAnsi="宋体" w:eastAsia="宋体" w:cs="宋体"/>
                <w:kern w:val="0"/>
                <w:sz w:val="24"/>
                <w:szCs w:val="24"/>
              </w:rPr>
              <w:t>31</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ascii="宋体" w:hAnsi="宋体" w:eastAsia="宋体" w:cs="宋体"/>
                <w:kern w:val="0"/>
                <w:sz w:val="24"/>
                <w:szCs w:val="24"/>
              </w:rPr>
              <w:t>生态学院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ascii="宋体" w:hAnsi="宋体" w:eastAsia="宋体" w:cs="宋体"/>
                <w:kern w:val="0"/>
                <w:sz w:val="24"/>
                <w:szCs w:val="24"/>
              </w:rPr>
              <w:t>曹扬</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基于党建核心职能，应用型高校基层党组织抓好课程思政的模式与路径</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委托课题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2020</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ascii="宋体" w:hAnsi="宋体" w:eastAsia="宋体" w:cs="宋体"/>
                <w:kern w:val="0"/>
                <w:sz w:val="24"/>
                <w:szCs w:val="24"/>
              </w:rPr>
              <w:t>32</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ascii="宋体" w:hAnsi="宋体" w:eastAsia="宋体" w:cs="宋体"/>
                <w:kern w:val="0"/>
                <w:sz w:val="24"/>
                <w:szCs w:val="24"/>
              </w:rPr>
              <w:t>电气学院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ascii="宋体" w:hAnsi="宋体" w:eastAsia="宋体" w:cs="宋体"/>
                <w:kern w:val="0"/>
                <w:sz w:val="24"/>
                <w:szCs w:val="24"/>
              </w:rPr>
              <w:t>华容</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新工科背景下课程思政协同改革路径策略研究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委托课题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2020</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33</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材料学院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徐家跃</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党史教育与工科专业教学融合的模式探索</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委托课题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2020</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34</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图书馆</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董国文</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课程思政视阈下的专业课教师发展研究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重点课题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2021</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35</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教工部</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俆一彦</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课程思政视阈下应用型高校教师胜任力现状及对策研究——以上海应用技术大学为例</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重点课题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2021</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36</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马院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蔡旖旎</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社会生活融入课程思政与思政课程协同育人的实践研究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重点课题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2021</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37</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教务处</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姜超</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课程思政全流程质量保障体系研究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重点课题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2021</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38</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马院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闫宇豪</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理与制：课程思政改革整体推进研究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重点课题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2021</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39</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化工学院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王震</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OBE条件下以专业为导向的中本贯通职业发展课程思政改革方案设计——以化学工程与工艺专业为例</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重点课题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2021</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40</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电气学院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蒋文萍</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党的领导推动中国航天工程自动控制技术发展的课程思政教学研究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2021</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41</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人文学院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周蔚</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四维五度：信息技术背景下思政融合专业教学方法创新行动研究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2021</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42</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城建学院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张小懿</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新时代工科学院社会主义核心价值观美劳互育路径探索</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2021</w:t>
            </w:r>
          </w:p>
        </w:tc>
      </w:tr>
      <w:tr>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43</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人文学院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杞万村</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篆刻文化融入高校人文素养教育教学路径研究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2021</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44</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机械学院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李伟阳</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智能制造课程思政领航团队建设——基于学术沙龙视角</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2021</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45</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艺术学院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李岚</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美育视域下中华优秀传统文化融入应用型高校教育教学路径研究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2021</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46</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研究生院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王青</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课程思政背景下应用型高校硕士研究生培养路径的探索</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2021</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47</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轨道学院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李宁洲</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结合最优化理论的课程德育内生体系构建探索与教学实践</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2021</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48</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香化学部</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唐文</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应用型本科背景下融合思政元素的实验课课程设计和实践</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2021</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49</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外语学院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刘从文</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新媒体语境下红色基因融入上海高校课程思政实践路径研究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2021</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50</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外语学院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郑俊</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外语专业测试的协同育人功能分析</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2021</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51</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机械学院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王宏</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志愿服务融合创新高校课程思政教育教学新途径</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2021</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52</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外语学院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郑晶</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课程思政视域下外语课堂文化归属与思辨能力实践体系建构</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2021</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53</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轨交学院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李培刚</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轨道交通专业学生铁路事业认同“四位一体”教育模式及促进机制研究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重点课题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2022</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54</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香化学部</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胡静</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以课程思政引领的香料香精专业应用创新型人才培养策略研究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重点课题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2022</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55</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经管学院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刘一君</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影响课程思政教学绩效的制约因素与对策实证研究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重点课题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2022</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56</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教务处</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姜超</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创新创业教育实施课程思政的内容体系与实践机制研究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重点课题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2022</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57</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艺术学院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侯敏枫</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基于中国传统“和合”美学精神的设计学类课程思政研究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重点课题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2022</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58</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电气学院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马向华</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中外合作办学课程思政教学经验模式探索以“电气工程及其自动化”专业为例</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重点课题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2022</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59</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组织部</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许丽</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课程思政背景下高校教师育德能力提升路径研究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重点课题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2022</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60</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教工部</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文强强</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障碍与联结：高校青年海归教师课程思政建设研究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2022</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61</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艺术学院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赵慧</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课程思政视角下艺术专业教师育德能力提升的路径研究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2022</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62</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外语学院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迟娟</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大学英语课程思政校本教研共同体建构研究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2022</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63</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机械学院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柳爽</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基础力学课程群的课程思政教学实践经验模式研究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2022</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64</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教务处</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郑中华</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机关支部党建推动课程思政建设的实践探索研究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2022</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65</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城建学院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刘章蕊</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习近平总书记关于安全生产重要论述进课堂的实践探索</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2022</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66</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人文学院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郑晓茹</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教育和引导新时代大学生深化职业自信的教育实践研究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2022</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67</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马院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牛亏环</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新时代大学生主流价值观养成与课程思政教学改革耦合的创新实践</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2022</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68</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经管学院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邓逊</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课程思政建设成效与考核评价研究——以经管学院为例</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2022</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69</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经管学院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雷利娟</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就业指导课程思政中职业道德教育引导实施策略研究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2022</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70</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马院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胡剑慧</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推进继续教育思政课程与课程思政同向同行研究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2022</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71</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马院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梁志平</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习近平新时代中国特色社会主义思想高校教学实践探索</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2022</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72</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计算机学院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王龙龙</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新时代大学生思想政治教育与职业生涯规划有机融合研究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2022</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73</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材料学院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章奇</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新工科背景下应用型高校课程思政融入就业与创业教育的实践创新研究-基于多元交互在线教学实践探索研究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2022</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经管学院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张义</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专业教师开展课程思政建设的现状评价及激励机制研究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2022</w:t>
            </w:r>
          </w:p>
        </w:tc>
      </w:tr>
      <w:tr>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外语学院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康添俊</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“互联网+”视域下第二课堂外语教学课程思政新路径研究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2022</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76</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材料学院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徐小威</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《建筑工程模块化及其设计》专业核心课程思政建设</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2022</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77</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外语学院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王叶娜</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英语专业课程思政教学研究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2022</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78</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材料学院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刘敏</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新材料发展助力“双碳”目标视阈下的课程思政教学与实践研究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2022</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79</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体教部</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张晓贤</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大学体育课程思政建设提质增效的方法创新与实现路径研究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2022</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80</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经管学院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郑海燕</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从课程思政到学科育人：跨学科大学生创业诚信德育耦合协同和动态追踪研究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2022</w:t>
            </w:r>
          </w:p>
        </w:tc>
      </w:tr>
      <w:tr>
        <w:tblPrEx>
          <w:tblCellMar>
            <w:top w:w="15" w:type="dxa"/>
            <w:left w:w="15" w:type="dxa"/>
            <w:bottom w:w="15" w:type="dxa"/>
            <w:right w:w="15" w:type="dxa"/>
          </w:tblCellMar>
        </w:tblPrEx>
        <w:trPr>
          <w:trHeight w:val="519" w:hRule="atLeast"/>
          <w:jc w:val="center"/>
        </w:trPr>
        <w:tc>
          <w:tcPr>
            <w:tcW w:w="73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81</w:t>
            </w:r>
          </w:p>
        </w:tc>
        <w:tc>
          <w:tcPr>
            <w:tcW w:w="1288"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电气学院</w:t>
            </w:r>
          </w:p>
        </w:tc>
        <w:tc>
          <w:tcPr>
            <w:tcW w:w="1082" w:type="dxa"/>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沈希忠</w:t>
            </w:r>
          </w:p>
        </w:tc>
        <w:tc>
          <w:tcPr>
            <w:tcW w:w="444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传感器与测试技术教学模式研究</w:t>
            </w:r>
          </w:p>
        </w:tc>
        <w:tc>
          <w:tcPr>
            <w:tcW w:w="1050"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一般课题</w:t>
            </w:r>
          </w:p>
        </w:tc>
        <w:tc>
          <w:tcPr>
            <w:tcW w:w="975" w:type="dxa"/>
            <w:tcBorders>
              <w:top w:val="single" w:color="000000" w:sz="4" w:space="0"/>
              <w:left w:val="nil"/>
              <w:bottom w:val="single" w:color="000000" w:sz="4" w:space="0"/>
              <w:right w:val="single" w:color="000000" w:sz="4" w:space="0"/>
            </w:tcBorders>
            <w:tcMar>
              <w:top w:w="0" w:type="dxa"/>
              <w:left w:w="0" w:type="dxa"/>
              <w:bottom w:w="0" w:type="dxa"/>
              <w:right w:w="0" w:type="dxa"/>
            </w:tcMar>
            <w:vAlign w:val="center"/>
          </w:tcPr>
          <w:p>
            <w:pPr>
              <w:widowControl/>
              <w:spacing w:before="100" w:beforeAutospacing="1" w:after="100" w:afterAutospacing="1"/>
              <w:jc w:val="center"/>
              <w:textAlignment w:val="center"/>
              <w:rPr>
                <w:rFonts w:ascii="宋体" w:hAnsi="宋体" w:eastAsia="宋体" w:cs="宋体"/>
                <w:kern w:val="0"/>
                <w:sz w:val="24"/>
                <w:szCs w:val="24"/>
              </w:rPr>
            </w:pPr>
            <w:r>
              <w:rPr>
                <w:rFonts w:hint="eastAsia" w:ascii="宋体" w:hAnsi="宋体" w:eastAsia="宋体" w:cs="宋体"/>
                <w:kern w:val="0"/>
                <w:sz w:val="24"/>
                <w:szCs w:val="24"/>
              </w:rPr>
              <w:t>2022</w:t>
            </w:r>
          </w:p>
        </w:tc>
      </w:tr>
    </w:tbl>
    <w:p>
      <w:pPr>
        <w:spacing w:line="360" w:lineRule="auto"/>
        <w:outlineLvl w:val="1"/>
        <w:rPr>
          <w:rFonts w:ascii="宋体" w:hAnsi="宋体" w:eastAsia="宋体" w:cs="宋体"/>
          <w:sz w:val="28"/>
          <w:szCs w:val="28"/>
        </w:rPr>
      </w:pPr>
    </w:p>
    <w:p>
      <w:pPr>
        <w:pStyle w:val="2"/>
        <w:spacing w:before="0" w:after="0" w:line="360" w:lineRule="auto"/>
        <w:ind w:firstLine="602" w:firstLineChars="200"/>
        <w:jc w:val="left"/>
        <w:rPr>
          <w:rFonts w:ascii="宋体" w:hAnsi="宋体" w:eastAsia="宋体" w:cs="宋体"/>
          <w:b w:val="0"/>
          <w:bCs w:val="0"/>
          <w:sz w:val="28"/>
          <w:szCs w:val="28"/>
        </w:rPr>
      </w:pPr>
      <w:bookmarkStart w:id="22" w:name="_Toc131671186"/>
      <w:r>
        <w:rPr>
          <w:rFonts w:hint="eastAsia" w:asciiTheme="minorEastAsia" w:hAnsiTheme="minorEastAsia"/>
          <w:sz w:val="30"/>
          <w:szCs w:val="30"/>
        </w:rPr>
        <w:t>（二）</w:t>
      </w:r>
      <w:bookmarkEnd w:id="22"/>
      <w:r>
        <w:rPr>
          <w:rFonts w:hint="eastAsia" w:ascii="宋体" w:hAnsi="宋体" w:eastAsia="宋体" w:cs="宋体"/>
          <w:sz w:val="28"/>
          <w:szCs w:val="28"/>
        </w:rPr>
        <w:t>2020年课程思政理论研究课题总结报告</w:t>
      </w:r>
    </w:p>
    <w:p>
      <w:pPr>
        <w:spacing w:line="360" w:lineRule="auto"/>
        <w:ind w:firstLine="560" w:firstLineChars="200"/>
        <w:jc w:val="left"/>
        <w:rPr>
          <w:rFonts w:ascii="宋体" w:hAnsi="宋体" w:eastAsia="宋体" w:cs="宋体"/>
          <w:kern w:val="0"/>
          <w:sz w:val="28"/>
          <w:szCs w:val="28"/>
        </w:rPr>
      </w:pPr>
      <w:r>
        <w:rPr>
          <w:rFonts w:hint="eastAsia" w:ascii="宋体" w:hAnsi="宋体" w:eastAsia="宋体" w:cs="宋体"/>
          <w:kern w:val="0"/>
          <w:sz w:val="28"/>
          <w:szCs w:val="28"/>
        </w:rPr>
        <w:t>根据领航校建设总体计划，为了进一步提升学校课程思政建设水平，校课程思政研究中心开展2020年课程思政课题研究工作。2020年3月，经校内、外专家对申报的73项课题进行评审，立项重点课题8项，一般课题20项。</w:t>
      </w:r>
    </w:p>
    <w:p>
      <w:pPr>
        <w:spacing w:line="360" w:lineRule="auto"/>
        <w:ind w:firstLine="700" w:firstLineChars="250"/>
        <w:jc w:val="left"/>
        <w:rPr>
          <w:rFonts w:ascii="宋体" w:hAnsi="宋体" w:eastAsia="宋体" w:cs="宋体"/>
          <w:kern w:val="0"/>
          <w:sz w:val="28"/>
          <w:szCs w:val="28"/>
        </w:rPr>
      </w:pPr>
      <w:r>
        <w:rPr>
          <w:rFonts w:hint="eastAsia" w:ascii="宋体" w:hAnsi="宋体" w:eastAsia="宋体" w:cs="宋体"/>
          <w:kern w:val="0"/>
          <w:sz w:val="28"/>
          <w:szCs w:val="28"/>
        </w:rPr>
        <w:t>2020年8月，课程思政教育教学改革办公室对全部课题进行了中期检查及评议，一致通过所有课题的中期检查。2021年4月，课程思政教育教学改革办公室对全部课题进行了结题评审，返回的专家意见显示全部课题获结题通过，其中4项课题被评为优秀。</w:t>
      </w:r>
    </w:p>
    <w:p>
      <w:pPr>
        <w:spacing w:line="360" w:lineRule="auto"/>
        <w:ind w:firstLine="700" w:firstLineChars="250"/>
        <w:jc w:val="left"/>
        <w:rPr>
          <w:rFonts w:ascii="宋体" w:hAnsi="宋体" w:eastAsia="宋体" w:cs="宋体"/>
          <w:kern w:val="0"/>
          <w:sz w:val="28"/>
          <w:szCs w:val="28"/>
        </w:rPr>
      </w:pPr>
      <w:r>
        <w:rPr>
          <w:rFonts w:hint="eastAsia" w:ascii="宋体" w:hAnsi="宋体" w:eastAsia="宋体" w:cs="宋体"/>
          <w:kern w:val="0"/>
          <w:sz w:val="28"/>
          <w:szCs w:val="28"/>
        </w:rPr>
        <w:t>2020年课程思政课题研究主要从以下五方面展开：</w:t>
      </w:r>
    </w:p>
    <w:p>
      <w:pPr>
        <w:spacing w:line="360" w:lineRule="auto"/>
        <w:ind w:firstLine="562" w:firstLineChars="200"/>
        <w:jc w:val="left"/>
        <w:rPr>
          <w:rFonts w:ascii="宋体" w:hAnsi="宋体" w:eastAsia="宋体" w:cs="宋体"/>
          <w:b/>
          <w:kern w:val="0"/>
          <w:sz w:val="28"/>
          <w:szCs w:val="28"/>
        </w:rPr>
      </w:pPr>
      <w:r>
        <w:rPr>
          <w:rFonts w:hint="eastAsia" w:ascii="宋体" w:hAnsi="宋体" w:eastAsia="宋体" w:cs="宋体"/>
          <w:b/>
          <w:kern w:val="0"/>
          <w:sz w:val="28"/>
          <w:szCs w:val="28"/>
        </w:rPr>
        <w:t>1.围绕课程思政五大工程开展课题研究</w:t>
      </w:r>
    </w:p>
    <w:p>
      <w:pPr>
        <w:spacing w:line="360" w:lineRule="auto"/>
        <w:ind w:firstLine="560" w:firstLineChars="200"/>
        <w:jc w:val="left"/>
        <w:rPr>
          <w:rFonts w:ascii="宋体" w:hAnsi="宋体" w:eastAsia="宋体" w:cs="宋体"/>
          <w:kern w:val="0"/>
          <w:sz w:val="28"/>
          <w:szCs w:val="28"/>
        </w:rPr>
      </w:pPr>
      <w:r>
        <w:rPr>
          <w:rFonts w:hint="eastAsia" w:ascii="宋体" w:hAnsi="宋体" w:eastAsia="宋体" w:cs="宋体"/>
          <w:kern w:val="0"/>
          <w:sz w:val="28"/>
          <w:szCs w:val="28"/>
        </w:rPr>
        <w:t>一是金课建设工程。获批教师结合各自的专业实践开展研究，致力于通过显性教育和隐性教育来打造金课。二是名师培育工程。计算机学院熊亮《课程思政“名师智库”培育工程研究》，经管学院张义《高校课程思政教师的职业使命感研究》就是通过调查研究和组织建构，来探讨课程思政教师队伍建设。三是质量保障工程。教务处姜超《课程思政全流程质量保障体系研究》，化工学院周义锋《基于OBE理念的化工与制药类专业课程思政整体改革方案设计》、经管学院王真《基于OBE理念的经管类专业课程思政教学实践与育人机制研究》通过对课程思政的质量进行全过程考量。四是理论研究工程。校课程思政研究中心通过发布课题，以进一步提高校整体课程思政研究工作。五是考核激励工程。体制机制是当前课程思政亟需解决的问题，城建学院朱柳娟《整体推进课程思政改革机制体制研究—以城市建设与安全工程学院为例》，经管学院杨雪《新时代高校课程思政建设协同创新机制研究》等从不同的理论角度和专业的实践维度来探讨当前学校课程思政体制机制建设工作。</w:t>
      </w:r>
    </w:p>
    <w:p>
      <w:pPr>
        <w:spacing w:line="360" w:lineRule="auto"/>
        <w:ind w:firstLine="562" w:firstLineChars="200"/>
        <w:jc w:val="left"/>
        <w:rPr>
          <w:rFonts w:ascii="宋体" w:hAnsi="宋体" w:eastAsia="宋体" w:cs="宋体"/>
          <w:b/>
          <w:kern w:val="0"/>
          <w:sz w:val="28"/>
          <w:szCs w:val="28"/>
        </w:rPr>
      </w:pPr>
      <w:r>
        <w:rPr>
          <w:rFonts w:hint="eastAsia" w:ascii="宋体" w:hAnsi="宋体" w:eastAsia="宋体" w:cs="宋体"/>
          <w:b/>
          <w:kern w:val="0"/>
          <w:sz w:val="28"/>
          <w:szCs w:val="28"/>
        </w:rPr>
        <w:t>2.围绕课程思政与思政课程二者的关系开展研究</w:t>
      </w:r>
    </w:p>
    <w:p>
      <w:pPr>
        <w:spacing w:line="360" w:lineRule="auto"/>
        <w:ind w:firstLine="560" w:firstLineChars="200"/>
        <w:jc w:val="left"/>
        <w:rPr>
          <w:rFonts w:ascii="宋体" w:hAnsi="宋体" w:eastAsia="宋体" w:cs="宋体"/>
          <w:kern w:val="0"/>
          <w:sz w:val="28"/>
          <w:szCs w:val="28"/>
        </w:rPr>
      </w:pPr>
      <w:r>
        <w:rPr>
          <w:rFonts w:hint="eastAsia" w:ascii="宋体" w:hAnsi="宋体" w:eastAsia="宋体" w:cs="宋体"/>
          <w:kern w:val="0"/>
          <w:sz w:val="28"/>
          <w:szCs w:val="28"/>
        </w:rPr>
        <w:t>思政课程与课程思政二者的关系一直是课程思政开展研究的前提，二者关系之间涵盖的内容非常丰富。如党委学工部吴敏在《高校“课程思政”与“思政课程“协同育人模式研究》分析二者之间的协同关系；马院胡剑慧在《思政教师在高校课程思政建设中的作用研究》探讨了思政教师在课程思政建设中的作用。</w:t>
      </w:r>
    </w:p>
    <w:p>
      <w:pPr>
        <w:spacing w:line="360" w:lineRule="auto"/>
        <w:ind w:firstLine="562" w:firstLineChars="200"/>
        <w:jc w:val="left"/>
        <w:rPr>
          <w:rFonts w:ascii="宋体" w:hAnsi="宋体" w:eastAsia="宋体" w:cs="宋体"/>
          <w:b/>
          <w:kern w:val="0"/>
          <w:sz w:val="28"/>
          <w:szCs w:val="28"/>
        </w:rPr>
      </w:pPr>
      <w:r>
        <w:rPr>
          <w:rFonts w:hint="eastAsia" w:ascii="宋体" w:hAnsi="宋体" w:eastAsia="宋体" w:cs="宋体"/>
          <w:b/>
          <w:kern w:val="0"/>
          <w:sz w:val="28"/>
          <w:szCs w:val="28"/>
        </w:rPr>
        <w:t>3.围绕课程思政教学实践开展研究</w:t>
      </w:r>
    </w:p>
    <w:p>
      <w:pPr>
        <w:spacing w:line="360" w:lineRule="auto"/>
        <w:ind w:firstLine="560" w:firstLineChars="200"/>
        <w:jc w:val="left"/>
        <w:rPr>
          <w:rFonts w:ascii="宋体" w:hAnsi="宋体" w:eastAsia="宋体" w:cs="宋体"/>
          <w:kern w:val="0"/>
          <w:sz w:val="28"/>
          <w:szCs w:val="28"/>
        </w:rPr>
      </w:pPr>
      <w:r>
        <w:rPr>
          <w:rFonts w:hint="eastAsia" w:ascii="宋体" w:hAnsi="宋体" w:eastAsia="宋体" w:cs="宋体"/>
          <w:kern w:val="0"/>
          <w:sz w:val="28"/>
          <w:szCs w:val="28"/>
        </w:rPr>
        <w:t>在此次课程思政课题研究中，有13位老师研究课程思政的教学实践研究，工创学院吴梦初、机械学院张建国、理学院谭默言、机械学院马轻轻、机械学院付红红、材料学院刘敏、城建学院赵前、材料学院徐小威、经管学院王真、经管学院谷冬青、外语学院霍艳娟、人文学院周文、工创学院梁垚分别针对电气工程及自动化、测试技术、物理学、项目管理思维及方法、热力学及传热学、金属类、建筑设计原理、建筑材料、经管类、国际金融理论与实务、外语、人文社科类、形势与政策等课程的教学实践开展了思政元素融入研究。另外，也有老师围绕实验课程展开课题研究，比如化工学院康丽琴围绕有机化学实验如何融入思政元素展开了研究。总体而言，老师们都能根据自身的教学实践开展了有哪些思政元素，如何融入思政元素等相关研究。</w:t>
      </w:r>
    </w:p>
    <w:p>
      <w:pPr>
        <w:spacing w:line="360" w:lineRule="auto"/>
        <w:ind w:firstLine="562" w:firstLineChars="200"/>
        <w:jc w:val="left"/>
        <w:rPr>
          <w:rFonts w:ascii="宋体" w:hAnsi="宋体" w:eastAsia="宋体" w:cs="宋体"/>
          <w:b/>
          <w:kern w:val="0"/>
          <w:sz w:val="28"/>
          <w:szCs w:val="28"/>
        </w:rPr>
      </w:pPr>
      <w:r>
        <w:rPr>
          <w:rFonts w:hint="eastAsia" w:ascii="宋体" w:hAnsi="宋体" w:eastAsia="宋体" w:cs="宋体"/>
          <w:b/>
          <w:kern w:val="0"/>
          <w:sz w:val="28"/>
          <w:szCs w:val="28"/>
        </w:rPr>
        <w:t>4.围绕课程思政的形势背景开展研究</w:t>
      </w:r>
    </w:p>
    <w:p>
      <w:pPr>
        <w:spacing w:line="360" w:lineRule="auto"/>
        <w:ind w:firstLine="560" w:firstLineChars="200"/>
        <w:jc w:val="left"/>
        <w:rPr>
          <w:rFonts w:ascii="宋体" w:hAnsi="宋体" w:eastAsia="宋体" w:cs="宋体"/>
          <w:kern w:val="0"/>
          <w:sz w:val="28"/>
          <w:szCs w:val="28"/>
        </w:rPr>
      </w:pPr>
      <w:r>
        <w:rPr>
          <w:rFonts w:hint="eastAsia" w:ascii="宋体" w:hAnsi="宋体" w:eastAsia="宋体" w:cs="宋体"/>
          <w:kern w:val="0"/>
          <w:sz w:val="28"/>
          <w:szCs w:val="28"/>
        </w:rPr>
        <w:t>从当前的形势背景入手探讨课程思政是研究的亮点，比如新工科背景，机械学院张珂《新工科理念背景下的金课建设》；高校产教融合，材料学院张娜《应用型高校校企合作“课程思政”教学运行机制研究》；大数据背景，化工学院张越在《大数据背景下高校课程思政方法创新研究》里着重探讨了大数据背景下课程思政的方法创新研究。</w:t>
      </w:r>
    </w:p>
    <w:p>
      <w:pPr>
        <w:spacing w:line="360" w:lineRule="auto"/>
        <w:ind w:firstLine="562" w:firstLineChars="200"/>
        <w:jc w:val="left"/>
        <w:rPr>
          <w:rFonts w:ascii="宋体" w:hAnsi="宋体" w:eastAsia="宋体" w:cs="宋体"/>
          <w:b/>
          <w:kern w:val="0"/>
          <w:sz w:val="28"/>
          <w:szCs w:val="28"/>
        </w:rPr>
      </w:pPr>
      <w:r>
        <w:rPr>
          <w:rFonts w:hint="eastAsia" w:ascii="宋体" w:hAnsi="宋体" w:eastAsia="宋体" w:cs="宋体"/>
          <w:b/>
          <w:kern w:val="0"/>
          <w:sz w:val="28"/>
          <w:szCs w:val="28"/>
        </w:rPr>
        <w:t>5.围绕课程思政的学生思想政治教育开展研究</w:t>
      </w:r>
    </w:p>
    <w:p>
      <w:pPr>
        <w:spacing w:line="360" w:lineRule="auto"/>
        <w:ind w:firstLine="560" w:firstLineChars="200"/>
        <w:jc w:val="left"/>
        <w:rPr>
          <w:rFonts w:ascii="宋体" w:hAnsi="宋体" w:eastAsia="宋体" w:cs="宋体"/>
          <w:kern w:val="0"/>
          <w:sz w:val="28"/>
          <w:szCs w:val="28"/>
        </w:rPr>
      </w:pPr>
      <w:r>
        <w:rPr>
          <w:rFonts w:hint="eastAsia" w:ascii="宋体" w:hAnsi="宋体" w:eastAsia="宋体" w:cs="宋体"/>
          <w:kern w:val="0"/>
          <w:sz w:val="28"/>
          <w:szCs w:val="28"/>
        </w:rPr>
        <w:t>课程思政的学生思想政治教育工作成为此次课程研究的重要部分，学生思想政治教育开展课程思政的研究内容丰富。主要有三方面：一是校园文化建设，校团委周青《文化育人视角下课程思政与应用型高校校园文化有效融合路径研究》探讨思政元素与校园文化的融合方法。二是相关课程融入，化工学院张越、工创学院梁垚、机械学院马轻轻围绕大学生职业生涯规划、形势与政策、</w:t>
      </w:r>
      <w:bookmarkStart w:id="23" w:name="_Hlk49749274"/>
      <w:r>
        <w:rPr>
          <w:rFonts w:hint="eastAsia" w:ascii="宋体" w:hAnsi="宋体" w:eastAsia="宋体" w:cs="宋体"/>
          <w:kern w:val="0"/>
          <w:sz w:val="28"/>
          <w:szCs w:val="28"/>
        </w:rPr>
        <w:t>项目管理思维及方法</w:t>
      </w:r>
      <w:bookmarkEnd w:id="23"/>
      <w:r>
        <w:rPr>
          <w:rFonts w:hint="eastAsia" w:ascii="宋体" w:hAnsi="宋体" w:eastAsia="宋体" w:cs="宋体"/>
          <w:kern w:val="0"/>
          <w:sz w:val="28"/>
          <w:szCs w:val="28"/>
        </w:rPr>
        <w:t>等开展课程思政的融入研究。三是社团文化建设，马院强成文《大学生理论学习社团融入应用型本科高校课程思政有效路径研究》开展社团建设研究。课程思政的学生思想政治教育相关思政元素的课题研究，还有进一步挖掘的空间。</w:t>
      </w:r>
    </w:p>
    <w:p>
      <w:pPr>
        <w:spacing w:line="360" w:lineRule="auto"/>
        <w:ind w:firstLine="560" w:firstLineChars="200"/>
        <w:jc w:val="left"/>
        <w:rPr>
          <w:rFonts w:ascii="宋体" w:hAnsi="宋体" w:eastAsia="宋体" w:cs="宋体"/>
          <w:kern w:val="0"/>
          <w:sz w:val="28"/>
          <w:szCs w:val="28"/>
        </w:rPr>
      </w:pPr>
      <w:r>
        <w:rPr>
          <w:rFonts w:hint="eastAsia" w:ascii="宋体" w:hAnsi="宋体" w:eastAsia="宋体" w:cs="宋体"/>
          <w:kern w:val="0"/>
          <w:sz w:val="28"/>
          <w:szCs w:val="28"/>
        </w:rPr>
        <w:t>综上所述，课题负责人都能够按照申报的计划开展课题研究工作，也进行了比较系统的调研，取得了不错的成果，为学校全面推进课程思政建设提供了理论支持和实践探索。如在质量保障工程方面，明确了课程思政的逐层实现机制。梳理出课程思政在学校、专业和课程三个层次的基本内涵、特征和逐层实现路径，为各专业实施课程思政、专业思政，研制课程思政教学指南提供了依据，为构建质量保障体系提供基本框架。在考核激励工程方面，城建学院依托课题研究形成土木类专业课程思政教学指南，为土木类专业课程思政建设提供了借鉴意义，打造了城市建设、安全管理两个领航团队。在课程思政教学实践方面，理学院课题组课题组探索将思政元素融入课堂教学，深度发挥其公共课课堂主渠道功能，将其转化为思想价值引领的具体化、生动化的有效教学载体，对学生进行价值引领，对于其他自然学科公共基础课进行课程思政建设具有一定的参考价值和借鉴作用。将思政元素编写进教材的阅读材料，《大学物理基础教程（上、下册）》已于2020年12月由高等教育出版社出版（ISBN号为9787040541946、9787040543384）。在高校产教融合方面，重在应用的教育理念始终贯穿在专业建设各个方面，包括引企入教课程、包括应用型教材出版、包括混合式教学设计，形成优秀的课程思政教学案例、课程思政教学团队，线上线下优秀案例等；校企合作共建蕴含在课程体系和课程建设中。这类作法对其他专业建设、课程建设具有一定的示范作用和借鉴意义，出版《复合材料实验》（应用型）教材1部。</w:t>
      </w:r>
    </w:p>
    <w:p>
      <w:pPr>
        <w:spacing w:line="360" w:lineRule="auto"/>
        <w:ind w:firstLine="560" w:firstLineChars="200"/>
        <w:jc w:val="left"/>
        <w:rPr>
          <w:rFonts w:ascii="宋体" w:hAnsi="宋体" w:eastAsia="宋体" w:cs="宋体"/>
          <w:kern w:val="0"/>
          <w:sz w:val="28"/>
          <w:szCs w:val="28"/>
        </w:rPr>
      </w:pPr>
      <w:r>
        <w:rPr>
          <w:rFonts w:hint="eastAsia" w:ascii="宋体" w:hAnsi="宋体" w:eastAsia="宋体" w:cs="宋体"/>
          <w:kern w:val="0"/>
          <w:sz w:val="28"/>
          <w:szCs w:val="28"/>
        </w:rPr>
        <w:t>课题负责人围绕课程思政研究课题，开展了问卷调查、个别访谈和实地调研等研究工作，部分老师还提供了调研的数据。经统计，重点课题已发表文章10篇，其中发表在核心期刊（《思想理论教育》）1篇，已申请获批市级课题2项（马院闫宇豪获批2020年上海学校德育实践课题，经管张义获批2020年市教卫工作党委党建研究课题）。</w:t>
      </w:r>
    </w:p>
    <w:p>
      <w:pPr>
        <w:spacing w:line="360" w:lineRule="auto"/>
        <w:ind w:firstLine="560" w:firstLineChars="200"/>
        <w:jc w:val="left"/>
        <w:rPr>
          <w:rFonts w:ascii="宋体" w:hAnsi="宋体" w:eastAsia="宋体" w:cs="宋体"/>
          <w:kern w:val="0"/>
          <w:sz w:val="28"/>
          <w:szCs w:val="28"/>
        </w:rPr>
      </w:pPr>
      <w:r>
        <w:rPr>
          <w:rFonts w:hint="eastAsia" w:ascii="宋体" w:hAnsi="宋体" w:eastAsia="宋体" w:cs="宋体"/>
          <w:kern w:val="0"/>
          <w:sz w:val="28"/>
          <w:szCs w:val="28"/>
        </w:rPr>
        <w:t>根据《上海应用技术大学开展2020年课程思政课题研究工作的通知》文件精神，重点课题前期资助1万，如果符合下列条件之一：发表核心期刊，或获得市级及以上课题，或获得市级及以上教学成果奖，或获得市级及以上精品课程，后期再资助1万元。一般课题共发表文章13篇，获上海市一流课程建设立项1门(《社会保障国际比较》获上海市一流课程建设立项)。所有课题经费按照预算执行完毕。</w:t>
      </w:r>
    </w:p>
    <w:p>
      <w:pPr>
        <w:spacing w:line="360" w:lineRule="auto"/>
        <w:ind w:firstLine="560" w:firstLineChars="200"/>
        <w:jc w:val="left"/>
        <w:rPr>
          <w:rFonts w:ascii="宋体" w:hAnsi="宋体" w:eastAsia="宋体" w:cs="宋体"/>
          <w:kern w:val="0"/>
          <w:sz w:val="28"/>
          <w:szCs w:val="28"/>
        </w:rPr>
      </w:pPr>
      <w:r>
        <w:rPr>
          <w:rFonts w:hint="eastAsia" w:ascii="宋体" w:hAnsi="宋体" w:eastAsia="宋体" w:cs="宋体"/>
          <w:kern w:val="0"/>
          <w:sz w:val="28"/>
          <w:szCs w:val="28"/>
        </w:rPr>
        <w:t>但是也存在着共性的不足：一是有些课题的理论提炼还不够，高质量论文发表数量有待提高；二是专业实践类的课题思政元素结合还不够紧密，需要进一步合理设计将我校凝练出的32个思政元素有选择地跟具体课程紧密结合；三是观点比较零散，要集中于一点或某几点开展课题研究，而不是泛泛而谈，这些共性的不足还需要在今后的组织和研究工作中进一步加强。</w:t>
      </w:r>
    </w:p>
    <w:p>
      <w:pPr>
        <w:spacing w:line="360" w:lineRule="auto"/>
        <w:ind w:firstLine="560" w:firstLineChars="200"/>
        <w:jc w:val="left"/>
        <w:rPr>
          <w:rFonts w:ascii="宋体" w:hAnsi="宋体" w:eastAsia="宋体" w:cs="宋体"/>
          <w:kern w:val="0"/>
          <w:sz w:val="28"/>
          <w:szCs w:val="28"/>
        </w:rPr>
      </w:pPr>
      <w:r>
        <w:rPr>
          <w:rFonts w:ascii="宋体" w:hAnsi="宋体" w:eastAsia="宋体" w:cs="宋体"/>
          <w:kern w:val="0"/>
          <w:sz w:val="28"/>
          <w:szCs w:val="28"/>
        </w:rPr>
        <w:br w:type="page"/>
      </w:r>
    </w:p>
    <w:p>
      <w:pPr>
        <w:pStyle w:val="2"/>
        <w:spacing w:before="0" w:after="0" w:line="360" w:lineRule="auto"/>
        <w:ind w:firstLine="562" w:firstLineChars="200"/>
        <w:jc w:val="left"/>
        <w:rPr>
          <w:rFonts w:ascii="宋体" w:hAnsi="宋体" w:eastAsia="宋体" w:cs="宋体"/>
          <w:sz w:val="28"/>
          <w:szCs w:val="28"/>
        </w:rPr>
      </w:pPr>
      <w:r>
        <w:rPr>
          <w:rFonts w:hint="eastAsia" w:ascii="宋体" w:hAnsi="宋体" w:eastAsia="宋体" w:cs="宋体"/>
          <w:sz w:val="28"/>
          <w:szCs w:val="28"/>
        </w:rPr>
        <w:t>（三）2021年课程思政理论研究课题总结报告</w:t>
      </w:r>
    </w:p>
    <w:p>
      <w:pPr>
        <w:spacing w:line="360" w:lineRule="auto"/>
        <w:ind w:firstLine="560" w:firstLineChars="200"/>
        <w:jc w:val="left"/>
        <w:rPr>
          <w:rFonts w:ascii="宋体" w:hAnsi="宋体" w:eastAsia="宋体" w:cs="宋体"/>
          <w:kern w:val="0"/>
          <w:sz w:val="28"/>
          <w:szCs w:val="28"/>
        </w:rPr>
      </w:pPr>
      <w:r>
        <w:rPr>
          <w:rFonts w:hint="eastAsia" w:ascii="宋体" w:hAnsi="宋体" w:eastAsia="宋体" w:cs="宋体"/>
          <w:kern w:val="0"/>
          <w:sz w:val="28"/>
          <w:szCs w:val="28"/>
        </w:rPr>
        <w:t>为全面推进我校课程思政领航高校建设工作，加强课程思政理论研究和实践创新，课程思政研究中心组织开展了2021年课程思政理论研究课题研究工作。2021年，经校内、外专家对申报的56项课题（其中申报重点课题14项，一般课题42项）进行评审，立项重点课题6项（包含2项2020年继续资助课题），一般课题13项，党史学习教育融入课程思政专题研究课题4项。</w:t>
      </w:r>
    </w:p>
    <w:p>
      <w:pPr>
        <w:spacing w:line="360" w:lineRule="auto"/>
        <w:ind w:firstLine="560" w:firstLineChars="200"/>
        <w:jc w:val="left"/>
        <w:rPr>
          <w:rFonts w:ascii="宋体" w:hAnsi="宋体" w:eastAsia="宋体" w:cs="宋体"/>
          <w:kern w:val="0"/>
          <w:sz w:val="28"/>
          <w:szCs w:val="28"/>
        </w:rPr>
      </w:pPr>
      <w:r>
        <w:rPr>
          <w:rFonts w:hint="eastAsia" w:ascii="宋体" w:hAnsi="宋体" w:eastAsia="宋体" w:cs="宋体"/>
          <w:kern w:val="0"/>
          <w:sz w:val="28"/>
          <w:szCs w:val="28"/>
        </w:rPr>
        <w:t>2022年6月，课程思政研究中心发布验收预通知，10月发布正式通知，对全部课题成果进行了收取、整理、初筛，筛选出符合结题条件的课题共19项，外聘专家对19项课题进行结题评审，返回的专家意见显示全部课题获结题通过，其中5项课题被评为优秀。不符合验收条件的项目由项目负责人申请延期一年。</w:t>
      </w:r>
    </w:p>
    <w:p>
      <w:pPr>
        <w:spacing w:line="360" w:lineRule="auto"/>
        <w:ind w:firstLine="560" w:firstLineChars="200"/>
        <w:jc w:val="left"/>
        <w:rPr>
          <w:rFonts w:ascii="宋体" w:hAnsi="宋体" w:eastAsia="宋体" w:cs="宋体"/>
          <w:kern w:val="0"/>
          <w:sz w:val="28"/>
          <w:szCs w:val="28"/>
        </w:rPr>
      </w:pPr>
      <w:r>
        <w:rPr>
          <w:rFonts w:hint="eastAsia" w:ascii="宋体" w:hAnsi="宋体" w:eastAsia="宋体" w:cs="宋体"/>
          <w:kern w:val="0"/>
          <w:sz w:val="28"/>
          <w:szCs w:val="28"/>
        </w:rPr>
        <w:t>2021年课程思政课题研究主要从以下五方面展开：</w:t>
      </w:r>
    </w:p>
    <w:p>
      <w:pPr>
        <w:spacing w:line="360" w:lineRule="auto"/>
        <w:ind w:firstLine="562" w:firstLineChars="200"/>
        <w:jc w:val="left"/>
        <w:rPr>
          <w:rFonts w:ascii="宋体" w:hAnsi="宋体" w:eastAsia="宋体" w:cs="宋体"/>
          <w:b/>
          <w:kern w:val="0"/>
          <w:sz w:val="28"/>
          <w:szCs w:val="28"/>
        </w:rPr>
      </w:pPr>
      <w:r>
        <w:rPr>
          <w:rFonts w:hint="eastAsia" w:ascii="宋体" w:hAnsi="宋体" w:eastAsia="宋体" w:cs="宋体"/>
          <w:b/>
          <w:kern w:val="0"/>
          <w:sz w:val="28"/>
          <w:szCs w:val="28"/>
        </w:rPr>
        <w:t>1.围绕课程思政五大工程中的部分开展课题研究</w:t>
      </w:r>
    </w:p>
    <w:p>
      <w:pPr>
        <w:spacing w:line="360" w:lineRule="auto"/>
        <w:ind w:firstLine="560" w:firstLineChars="200"/>
        <w:jc w:val="left"/>
        <w:rPr>
          <w:rFonts w:ascii="宋体" w:hAnsi="宋体" w:eastAsia="宋体" w:cs="宋体"/>
          <w:kern w:val="0"/>
          <w:sz w:val="28"/>
          <w:szCs w:val="28"/>
        </w:rPr>
      </w:pPr>
      <w:r>
        <w:rPr>
          <w:rFonts w:hint="eastAsia" w:ascii="宋体" w:hAnsi="宋体" w:eastAsia="宋体" w:cs="宋体"/>
          <w:kern w:val="0"/>
          <w:sz w:val="28"/>
          <w:szCs w:val="28"/>
        </w:rPr>
        <w:t>一是名师培育工程。机械学院李伟阳《智能制造课程思政领航团队建设——基于学术沙龙视角》，旨在探索各个课程团队教师通过学术沙龙活动，进行团队建设。二是质量保障工程。教务处姜超《课程思政全流程质量保障体系研究》，化工学院王震《OBE条件下以专业为导向的中本贯通职业发展课程思政改革方案设计——以化学工程与工艺专业为例》，通过对课程思政的质量进行全过程考量。三是理论研究工程。校课程思政研究中心通过发布课题，以进一步提高校整体课程思政研究工作。</w:t>
      </w:r>
    </w:p>
    <w:p>
      <w:pPr>
        <w:spacing w:line="360" w:lineRule="auto"/>
        <w:ind w:firstLine="562" w:firstLineChars="200"/>
        <w:jc w:val="left"/>
        <w:rPr>
          <w:rFonts w:ascii="宋体" w:hAnsi="宋体" w:eastAsia="宋体" w:cs="宋体"/>
          <w:b/>
          <w:kern w:val="0"/>
          <w:sz w:val="28"/>
          <w:szCs w:val="28"/>
        </w:rPr>
      </w:pPr>
      <w:r>
        <w:rPr>
          <w:rFonts w:hint="eastAsia" w:ascii="宋体" w:hAnsi="宋体" w:eastAsia="宋体" w:cs="宋体"/>
          <w:b/>
          <w:kern w:val="0"/>
          <w:sz w:val="28"/>
          <w:szCs w:val="28"/>
        </w:rPr>
        <w:t>2.围绕课程思政与思政课程协同育人开展研究</w:t>
      </w:r>
    </w:p>
    <w:p>
      <w:pPr>
        <w:spacing w:line="360" w:lineRule="auto"/>
        <w:ind w:firstLine="560" w:firstLineChars="200"/>
        <w:jc w:val="left"/>
        <w:rPr>
          <w:rFonts w:ascii="宋体" w:hAnsi="宋体" w:eastAsia="宋体" w:cs="宋体"/>
          <w:kern w:val="0"/>
          <w:sz w:val="28"/>
          <w:szCs w:val="28"/>
        </w:rPr>
      </w:pPr>
      <w:r>
        <w:rPr>
          <w:rFonts w:hint="eastAsia" w:ascii="宋体" w:hAnsi="宋体" w:eastAsia="宋体" w:cs="宋体"/>
          <w:kern w:val="0"/>
          <w:sz w:val="28"/>
          <w:szCs w:val="28"/>
        </w:rPr>
        <w:t>思政课程与课程思政协同育人是新时代加强高校思想政治工作的新要求，是对全课程育人的有力提升。思政课程与课程思政二者协同育人一直是研究的热点，二者关系之间涵盖的内容非常丰富。如马克思主义学院蔡旖旎《社会生活融入课程思政与思政课程协同育人的实践研究》，致力于以学校的办学定位和办学理念为遵循，探索和突出我校人文社会科学的教学特点和目标，即是要紧密结合社会生活展开。</w:t>
      </w:r>
    </w:p>
    <w:p>
      <w:pPr>
        <w:spacing w:line="360" w:lineRule="auto"/>
        <w:ind w:firstLine="562" w:firstLineChars="200"/>
        <w:jc w:val="left"/>
        <w:rPr>
          <w:rFonts w:ascii="宋体" w:hAnsi="宋体" w:eastAsia="宋体" w:cs="宋体"/>
          <w:b/>
          <w:kern w:val="0"/>
          <w:sz w:val="28"/>
          <w:szCs w:val="28"/>
        </w:rPr>
      </w:pPr>
      <w:r>
        <w:rPr>
          <w:rFonts w:hint="eastAsia" w:ascii="宋体" w:hAnsi="宋体" w:eastAsia="宋体" w:cs="宋体"/>
          <w:b/>
          <w:kern w:val="0"/>
          <w:sz w:val="28"/>
          <w:szCs w:val="28"/>
        </w:rPr>
        <w:t>3.围绕课程思政教学实践开展研究</w:t>
      </w:r>
    </w:p>
    <w:p>
      <w:pPr>
        <w:spacing w:line="360" w:lineRule="auto"/>
        <w:ind w:firstLine="560" w:firstLineChars="200"/>
        <w:jc w:val="left"/>
        <w:rPr>
          <w:rFonts w:asciiTheme="minorEastAsia" w:hAnsiTheme="minorEastAsia"/>
          <w:color w:val="000000"/>
          <w:kern w:val="0"/>
          <w:sz w:val="28"/>
          <w:szCs w:val="28"/>
        </w:rPr>
      </w:pPr>
      <w:r>
        <w:rPr>
          <w:rFonts w:hint="eastAsia" w:asciiTheme="minorEastAsia" w:hAnsiTheme="minorEastAsia"/>
          <w:color w:val="000000"/>
          <w:kern w:val="0"/>
          <w:sz w:val="28"/>
          <w:szCs w:val="28"/>
        </w:rPr>
        <w:t>对课程思政的实践路径，是近三年一直以来的研究重点。在此次课程思政课题研究中，有5位老师研究课程思政的教学实践研究，人文学院杞万村、轨道学院李宁洲、外语学院郑峻、郑晶、机械学院王宏分别针对人文素养、轨道交通、外语专业测试、外语课堂文化归属与思辨能力、志愿服务融合创新等课程的教学实践开展了思政元素融入研究。另外，也有老师围绕实验课程展开课题研究，比如香化学部唐文围绕应用型本科背景下融合思政元素的实验课课程设计和实践展开研究。还有研究生院王青将思想政治教育融入研究生课程教学，构建研究生全过程思政教育“1-2-3-4”体系，加强导师队伍建设，创新全过程校企导师思政模式。总体而言，老师们都能根据自身的教学实践开展了有哪些思政元素，如何融入思政元素等相关研究。</w:t>
      </w:r>
    </w:p>
    <w:p>
      <w:pPr>
        <w:spacing w:line="360" w:lineRule="auto"/>
        <w:ind w:firstLine="562" w:firstLineChars="200"/>
        <w:jc w:val="left"/>
        <w:rPr>
          <w:rFonts w:ascii="宋体" w:hAnsi="宋体" w:eastAsia="宋体" w:cs="宋体"/>
          <w:b/>
          <w:kern w:val="0"/>
          <w:sz w:val="28"/>
          <w:szCs w:val="28"/>
        </w:rPr>
      </w:pPr>
      <w:r>
        <w:rPr>
          <w:rFonts w:hint="eastAsia" w:ascii="宋体" w:hAnsi="宋体" w:eastAsia="宋体" w:cs="宋体"/>
          <w:b/>
          <w:kern w:val="0"/>
          <w:sz w:val="28"/>
          <w:szCs w:val="28"/>
        </w:rPr>
        <w:t>4.围绕课程思政的形势背景开展研究</w:t>
      </w:r>
    </w:p>
    <w:p>
      <w:pPr>
        <w:spacing w:line="360" w:lineRule="auto"/>
        <w:ind w:firstLine="560" w:firstLineChars="200"/>
        <w:jc w:val="left"/>
        <w:rPr>
          <w:rFonts w:asciiTheme="minorEastAsia" w:hAnsiTheme="minorEastAsia"/>
          <w:color w:val="000000"/>
          <w:kern w:val="0"/>
          <w:sz w:val="28"/>
          <w:szCs w:val="28"/>
        </w:rPr>
      </w:pPr>
      <w:r>
        <w:rPr>
          <w:rFonts w:hint="eastAsia" w:asciiTheme="minorEastAsia" w:hAnsiTheme="minorEastAsia"/>
          <w:color w:val="000000"/>
          <w:kern w:val="0"/>
          <w:sz w:val="28"/>
          <w:szCs w:val="28"/>
        </w:rPr>
        <w:t>从当前的形势背景入手探讨课程思政是研究的亮点，比如美育背景，艺术学院李岚《美育视域下中华优秀传统文化融入应用型高校教育教学路径研究》，探索美育视域下中华优秀传统文化融入应用型高校教育教学的路径，提出可行性可推广性的方案和活动模式，城建学院张小懿《新时代工科学院社会主义核心价值观美劳互育路径探索》，探讨了美育劳育与专业教育相融合的方式；新媒体语境下，外语学院刘从文《新媒体语境下红色基因融入上海高校课程思政实践路径研究》，分析上海三所高校课程思政教育现状，梳理高校课程思政开展遇到问题，在新媒体背景下提出红色基因融入课程思政相应策略；信息技术背景下，人文学院周蔚在《四维五度：信息技术背景下思政融合专业教学方法创新行动研究》里着重探讨了通过与线上线下混合教学相结合，将实现思政教育与学科专业基础课、专业必修课、信息云教学三大课程性质融合一体的课程体系形成。</w:t>
      </w:r>
    </w:p>
    <w:p>
      <w:pPr>
        <w:spacing w:line="360" w:lineRule="auto"/>
        <w:ind w:firstLine="562" w:firstLineChars="200"/>
        <w:jc w:val="left"/>
        <w:rPr>
          <w:rFonts w:ascii="宋体" w:hAnsi="宋体" w:eastAsia="宋体" w:cs="宋体"/>
          <w:b/>
          <w:kern w:val="0"/>
          <w:sz w:val="28"/>
          <w:szCs w:val="28"/>
        </w:rPr>
      </w:pPr>
      <w:r>
        <w:rPr>
          <w:rFonts w:hint="eastAsia" w:ascii="宋体" w:hAnsi="宋体" w:eastAsia="宋体" w:cs="宋体"/>
          <w:b/>
          <w:kern w:val="0"/>
          <w:sz w:val="28"/>
          <w:szCs w:val="28"/>
        </w:rPr>
        <w:t>5.围绕党史学习教育融入课程思政开展专项研究</w:t>
      </w:r>
    </w:p>
    <w:p>
      <w:pPr>
        <w:spacing w:line="360" w:lineRule="auto"/>
        <w:ind w:firstLine="560" w:firstLineChars="200"/>
        <w:jc w:val="left"/>
        <w:rPr>
          <w:rFonts w:asciiTheme="minorEastAsia" w:hAnsiTheme="minorEastAsia"/>
          <w:color w:val="000000"/>
          <w:kern w:val="0"/>
          <w:sz w:val="28"/>
          <w:szCs w:val="28"/>
        </w:rPr>
      </w:pPr>
      <w:r>
        <w:rPr>
          <w:rFonts w:hint="eastAsia" w:asciiTheme="minorEastAsia" w:hAnsiTheme="minorEastAsia"/>
          <w:color w:val="000000"/>
          <w:kern w:val="0"/>
          <w:sz w:val="28"/>
          <w:szCs w:val="28"/>
        </w:rPr>
        <w:t>2021年在全党开展党史学习教育，为全面深化党史学习教育，推动党史学习教育进教材、进课堂、进头脑，校课程思政研究中心特设党史学习教育融入课程思政专项，共有4项课题获批立项。这些课题主要围绕党史学习教育与与课程思政建设的融合机制、党史学习教育融入教师思想政治工作的路径、党史学习教育入教、入课、入心的路径和实践、助力“论文写在祖国大地上”的科技产学研转化党史教育专题研究四个方面的内容展开。</w:t>
      </w:r>
    </w:p>
    <w:p>
      <w:pPr>
        <w:spacing w:line="360" w:lineRule="auto"/>
        <w:ind w:firstLine="560" w:firstLineChars="200"/>
        <w:jc w:val="left"/>
        <w:rPr>
          <w:rFonts w:asciiTheme="minorEastAsia" w:hAnsiTheme="minorEastAsia"/>
          <w:color w:val="000000"/>
          <w:kern w:val="0"/>
          <w:sz w:val="28"/>
          <w:szCs w:val="28"/>
        </w:rPr>
      </w:pPr>
      <w:r>
        <w:rPr>
          <w:rFonts w:hint="eastAsia" w:asciiTheme="minorEastAsia" w:hAnsiTheme="minorEastAsia"/>
          <w:color w:val="000000"/>
          <w:kern w:val="0"/>
          <w:sz w:val="28"/>
          <w:szCs w:val="28"/>
        </w:rPr>
        <w:t>综上所述，课题负责人都能够按照申报的计划开展课题研究工作，也进行了比较系统的调研，取得了不错的成果，为学校全面推进课程思政建设提供了理论支持和实践探索。如在质量保障工程方面，明确了实施课程思政评价的基本原则，构建了课程思政评价的指标体系，探索实施了课程思政评价的实施机制。在课程思政教学实践方面，轨道学院课题组研究试点课程蕴含的思想政治教育资源（专业素养与价值理念），分析其内在层进关系，探索试点课程部分内容重塑与融合更新（重点关注课程内容的递进与互补），将育德融汇于专业知识传授，为学院课程思政建设进行方法探索。外语学院课题组编撰新形态翻译教材《新编学术翻译实务》（ISBN 978-7-5765-0279-4，2022.6，同济大学出版社）。内含十个学术翻译单元，每个单元配有一个学术思辨环节，用以培养学生的学术道德、辩证思维、社会正义感和爱国情怀。在党史学习教育融入课程思政方面，组织部统战部课题组探讨了党史学习教育与课程思政建设的融合机制。按照党政联合、以行政渠道为主的思路，尤其是针对基层党组织引领机制，从“四个方向，十二个方面”提出了高校党史学习教育与课程思政建设的融合的对策机制，为学校优化百年党史“大思政课”课程布局和持续推动课程思政工作机制建设提供了一种新方法、新思路。</w:t>
      </w:r>
    </w:p>
    <w:p>
      <w:pPr>
        <w:spacing w:line="360" w:lineRule="auto"/>
        <w:ind w:firstLine="560" w:firstLineChars="200"/>
        <w:rPr>
          <w:rFonts w:asciiTheme="minorEastAsia" w:hAnsiTheme="minorEastAsia"/>
          <w:color w:val="000000"/>
          <w:kern w:val="0"/>
          <w:sz w:val="28"/>
          <w:szCs w:val="28"/>
        </w:rPr>
      </w:pPr>
      <w:r>
        <w:rPr>
          <w:rFonts w:hint="eastAsia" w:asciiTheme="minorEastAsia" w:hAnsiTheme="minorEastAsia"/>
          <w:color w:val="000000"/>
          <w:kern w:val="0"/>
          <w:sz w:val="28"/>
          <w:szCs w:val="28"/>
        </w:rPr>
        <w:t>课题负责人围绕课程思政研究课题，开展了问卷调查、个别访谈和实地调研等研究工作。经统计，重点课题和党史学习教育融入专项已发表文章10篇，已申请获批市级课题4项（教务处姜超获批2022年度上海市哲学社会科学规划教育学课题（参与），生态学院苟爱萍获批上海市教育委员会课程思政示范项目，学生处杨欣获批2021年中国高等教育学会重点课题，组织部、统战部张雅聪获批2022年度上海市教育卫生党委系统党的建设研究会重点课题）。一般课题共发表文章13篇，1篇工作案例获2022年长三角科学道德和学风建设论坛征文三等奖，1门课程（《英语口笔译》）先后获2021年上海高校市级重点课程（线上线下混合式课程类别）、上海高校一流本科课程（线上线下混合式课程类别）、入选2022年教育部在线教育研究中心“拓金计划”。所有课题经费按照预算执行完毕。</w:t>
      </w:r>
    </w:p>
    <w:p>
      <w:pPr>
        <w:spacing w:line="360" w:lineRule="auto"/>
        <w:ind w:firstLine="560" w:firstLineChars="200"/>
        <w:rPr>
          <w:rFonts w:ascii="宋体" w:hAnsi="宋体" w:eastAsia="宋体" w:cs="宋体"/>
          <w:kern w:val="0"/>
          <w:sz w:val="28"/>
          <w:szCs w:val="28"/>
        </w:rPr>
      </w:pPr>
      <w:r>
        <w:rPr>
          <w:rFonts w:hint="eastAsia" w:asciiTheme="minorEastAsia" w:hAnsiTheme="minorEastAsia"/>
          <w:color w:val="000000"/>
          <w:kern w:val="0"/>
          <w:sz w:val="28"/>
          <w:szCs w:val="28"/>
        </w:rPr>
        <w:t>但是也存在着共性的不足：一是有些课题的理论提炼还不够，高质量论文发表数量有待提高；二是缺乏对课程思政效果评价方面的研究；三是观点比较零散，研究内容的深度有待加深。从前两年的情况来说，虽然对课程思政的研究从数量上来看较为丰富，但是究其主要内容而言，许多研究缺乏对课程思政动态规律的把握。</w:t>
      </w:r>
      <w:r>
        <w:br w:type="page"/>
      </w:r>
    </w:p>
    <w:p>
      <w:pPr>
        <w:pStyle w:val="2"/>
        <w:spacing w:line="360" w:lineRule="auto"/>
        <w:jc w:val="center"/>
        <w:rPr>
          <w:sz w:val="36"/>
          <w:szCs w:val="36"/>
        </w:rPr>
      </w:pPr>
      <w:bookmarkStart w:id="24" w:name="_Toc131671187"/>
      <w:r>
        <w:rPr>
          <w:rFonts w:hint="eastAsia"/>
          <w:sz w:val="36"/>
          <w:szCs w:val="36"/>
        </w:rPr>
        <w:t>五、考核激励工程</w:t>
      </w:r>
      <w:bookmarkEnd w:id="24"/>
    </w:p>
    <w:p>
      <w:pPr>
        <w:pStyle w:val="2"/>
        <w:spacing w:before="0" w:after="0" w:line="360" w:lineRule="auto"/>
        <w:ind w:firstLine="562" w:firstLineChars="200"/>
        <w:jc w:val="left"/>
        <w:rPr>
          <w:rFonts w:asciiTheme="minorEastAsia" w:hAnsiTheme="minorEastAsia"/>
          <w:sz w:val="28"/>
          <w:szCs w:val="28"/>
        </w:rPr>
      </w:pPr>
      <w:bookmarkStart w:id="25" w:name="_Toc131671188"/>
      <w:r>
        <w:rPr>
          <w:rFonts w:hint="eastAsia" w:asciiTheme="minorEastAsia" w:hAnsiTheme="minorEastAsia"/>
          <w:sz w:val="28"/>
          <w:szCs w:val="28"/>
        </w:rPr>
        <w:t>（一）加强顶层设计和组织落实</w:t>
      </w:r>
      <w:bookmarkEnd w:id="25"/>
    </w:p>
    <w:p>
      <w:pPr>
        <w:spacing w:line="360" w:lineRule="auto"/>
        <w:ind w:firstLine="560" w:firstLineChars="200"/>
        <w:rPr>
          <w:rFonts w:asciiTheme="minorEastAsia" w:hAnsiTheme="minorEastAsia"/>
          <w:color w:val="000000"/>
          <w:kern w:val="0"/>
          <w:sz w:val="28"/>
          <w:szCs w:val="28"/>
        </w:rPr>
      </w:pPr>
      <w:r>
        <w:rPr>
          <w:rFonts w:hint="eastAsia" w:asciiTheme="minorEastAsia" w:hAnsiTheme="minorEastAsia"/>
          <w:color w:val="000000"/>
          <w:kern w:val="0"/>
          <w:sz w:val="28"/>
          <w:szCs w:val="28"/>
        </w:rPr>
        <w:t>学校课程思政建设工作，涉及全校工作的方方面面，需要在学校党政统一领导和有关部门密切协作、各二级学院（部）强力推进下，才能确保各项工作良性有序进行。</w:t>
      </w:r>
    </w:p>
    <w:p>
      <w:pPr>
        <w:spacing w:line="360" w:lineRule="auto"/>
        <w:ind w:firstLine="562" w:firstLineChars="200"/>
        <w:rPr>
          <w:rFonts w:asciiTheme="minorEastAsia" w:hAnsiTheme="minorEastAsia"/>
          <w:color w:val="000000"/>
          <w:kern w:val="0"/>
          <w:sz w:val="28"/>
          <w:szCs w:val="28"/>
        </w:rPr>
      </w:pPr>
      <w:r>
        <w:rPr>
          <w:rFonts w:hint="eastAsia" w:asciiTheme="minorEastAsia" w:hAnsiTheme="minorEastAsia"/>
          <w:b/>
          <w:color w:val="000000"/>
          <w:kern w:val="0"/>
          <w:sz w:val="28"/>
          <w:szCs w:val="28"/>
        </w:rPr>
        <w:t>1.强化校党委及课程思政教育教学改革领导小组顶层设计功能</w:t>
      </w:r>
    </w:p>
    <w:p>
      <w:pPr>
        <w:spacing w:line="360" w:lineRule="auto"/>
        <w:ind w:firstLine="560" w:firstLineChars="200"/>
        <w:rPr>
          <w:rFonts w:asciiTheme="minorEastAsia" w:hAnsiTheme="minorEastAsia"/>
          <w:color w:val="000000"/>
          <w:kern w:val="0"/>
          <w:sz w:val="28"/>
          <w:szCs w:val="28"/>
        </w:rPr>
      </w:pPr>
      <w:r>
        <w:rPr>
          <w:rFonts w:hint="eastAsia" w:asciiTheme="minorEastAsia" w:hAnsiTheme="minorEastAsia"/>
          <w:color w:val="000000"/>
          <w:kern w:val="0"/>
          <w:sz w:val="28"/>
          <w:szCs w:val="28"/>
        </w:rPr>
        <w:t>强化校党委在全校课程思政建设工作中的主体责任，充分发挥校党委书记和校长牵头、其他校领导班子成员为核心的校课程思政建设领导小组在牵引课程思政建设中的领导作用。坚持统一领导、顶层设计、整体规划、重点培育、有序推进、逐步覆盖，着力完善课程思政建设政策配套、资源调配、经费保障等措施。</w:t>
      </w:r>
    </w:p>
    <w:p>
      <w:pPr>
        <w:spacing w:line="360" w:lineRule="auto"/>
        <w:ind w:firstLine="562" w:firstLineChars="200"/>
        <w:rPr>
          <w:rFonts w:asciiTheme="minorEastAsia" w:hAnsiTheme="minorEastAsia"/>
          <w:b/>
          <w:color w:val="000000"/>
          <w:kern w:val="0"/>
          <w:sz w:val="28"/>
          <w:szCs w:val="28"/>
        </w:rPr>
      </w:pPr>
      <w:r>
        <w:rPr>
          <w:rFonts w:hint="eastAsia" w:asciiTheme="minorEastAsia" w:hAnsiTheme="minorEastAsia"/>
          <w:b/>
          <w:color w:val="000000"/>
          <w:kern w:val="0"/>
          <w:sz w:val="28"/>
          <w:szCs w:val="28"/>
        </w:rPr>
        <w:t>2.强化课程思政教学指导委员会统筹协调功能</w:t>
      </w:r>
    </w:p>
    <w:p>
      <w:pPr>
        <w:spacing w:line="360" w:lineRule="auto"/>
        <w:ind w:firstLine="560" w:firstLineChars="200"/>
        <w:rPr>
          <w:rFonts w:asciiTheme="minorEastAsia" w:hAnsiTheme="minorEastAsia"/>
          <w:color w:val="000000"/>
          <w:kern w:val="0"/>
          <w:sz w:val="28"/>
          <w:szCs w:val="28"/>
        </w:rPr>
      </w:pPr>
      <w:r>
        <w:rPr>
          <w:rFonts w:hint="eastAsia" w:asciiTheme="minorEastAsia" w:hAnsiTheme="minorEastAsia"/>
          <w:color w:val="000000"/>
          <w:kern w:val="0"/>
          <w:sz w:val="28"/>
          <w:szCs w:val="28"/>
        </w:rPr>
        <w:t>发挥学校课程思政教学指导委员会在整体工作中的统筹协调、相互沟通、协作研讨等作用。定期召开课程思政教学指导委员会会议，研究课程思政改革指导、咨询、督查、评估、队伍建设等工作。着力推进党政联合、校内外联合、学科间联合的“三大联合”模式，努力打造全方位、多层次、宽领域的全校课程思政建设工作大格局。</w:t>
      </w:r>
    </w:p>
    <w:p>
      <w:pPr>
        <w:spacing w:line="360" w:lineRule="auto"/>
        <w:ind w:firstLine="562" w:firstLineChars="200"/>
        <w:rPr>
          <w:rFonts w:asciiTheme="minorEastAsia" w:hAnsiTheme="minorEastAsia"/>
          <w:b/>
          <w:color w:val="000000"/>
          <w:kern w:val="0"/>
          <w:sz w:val="28"/>
          <w:szCs w:val="28"/>
        </w:rPr>
      </w:pPr>
      <w:r>
        <w:rPr>
          <w:rFonts w:hint="eastAsia" w:asciiTheme="minorEastAsia" w:hAnsiTheme="minorEastAsia"/>
          <w:b/>
          <w:color w:val="000000"/>
          <w:kern w:val="0"/>
          <w:sz w:val="28"/>
          <w:szCs w:val="28"/>
        </w:rPr>
        <w:t>3.强化课程思政建设办公室日常工作推进功能</w:t>
      </w:r>
    </w:p>
    <w:p>
      <w:pPr>
        <w:spacing w:line="360" w:lineRule="auto"/>
        <w:ind w:firstLine="560" w:firstLineChars="200"/>
        <w:rPr>
          <w:rFonts w:asciiTheme="minorEastAsia" w:hAnsiTheme="minorEastAsia"/>
          <w:color w:val="000000"/>
          <w:kern w:val="0"/>
          <w:sz w:val="28"/>
          <w:szCs w:val="28"/>
        </w:rPr>
      </w:pPr>
      <w:r>
        <w:rPr>
          <w:rFonts w:hint="eastAsia" w:asciiTheme="minorEastAsia" w:hAnsiTheme="minorEastAsia"/>
          <w:color w:val="000000"/>
          <w:kern w:val="0"/>
          <w:sz w:val="28"/>
          <w:szCs w:val="28"/>
        </w:rPr>
        <w:t>发挥学校课程思政建设办公室在日常改革推进工作中的具体作用。调整充实由教务处、马克思主义学院、党委宣传部、党委教师工作部、研究生工作院、部分二级学院（部）负责人、教师代表参加的课程思政建设办公室组成人员，推进落实课程思政建设小组、指导委员会研究确定的工作方案及实施事项，检查督促各二级学院（部）课程思政实施工作，定期汇总分析全校课程思政实施情况，向领导小组和指导委员会提出意见建议。</w:t>
      </w:r>
    </w:p>
    <w:p>
      <w:pPr>
        <w:spacing w:line="360" w:lineRule="auto"/>
        <w:ind w:firstLine="562" w:firstLineChars="200"/>
        <w:rPr>
          <w:rFonts w:asciiTheme="minorEastAsia" w:hAnsiTheme="minorEastAsia"/>
          <w:b/>
          <w:color w:val="000000"/>
          <w:kern w:val="0"/>
          <w:sz w:val="28"/>
          <w:szCs w:val="28"/>
        </w:rPr>
      </w:pPr>
      <w:r>
        <w:rPr>
          <w:rFonts w:hint="eastAsia" w:asciiTheme="minorEastAsia" w:hAnsiTheme="minorEastAsia"/>
          <w:b/>
          <w:color w:val="000000"/>
          <w:kern w:val="0"/>
          <w:sz w:val="28"/>
          <w:szCs w:val="28"/>
        </w:rPr>
        <w:t>4.强化二级学院（部）课程思政工作组织落实功能</w:t>
      </w:r>
    </w:p>
    <w:p>
      <w:pPr>
        <w:spacing w:line="360" w:lineRule="auto"/>
        <w:rPr>
          <w:rFonts w:asciiTheme="minorEastAsia" w:hAnsiTheme="minorEastAsia"/>
          <w:sz w:val="28"/>
          <w:szCs w:val="28"/>
        </w:rPr>
      </w:pPr>
      <w:r>
        <w:rPr>
          <w:rFonts w:hint="eastAsia" w:asciiTheme="minorEastAsia" w:hAnsiTheme="minorEastAsia"/>
          <w:color w:val="000000"/>
          <w:kern w:val="0"/>
          <w:sz w:val="28"/>
          <w:szCs w:val="28"/>
        </w:rPr>
        <w:t>推进建立各二级学院（部）课程思政工作机构，建立由二级学院（部）党政一把手任双组长、教学副院长和学生副院长为副组长，教研室（系）主任、专业责任教授、教工党支部书记、学办主任等为组员的二级学院（部）课程思政工作组，结合学院（部）实际贯彻落实学校领导小组、指导委员会确定的工作意见和实施事项，创造性地推进本单位课程思政建设工作。</w:t>
      </w:r>
    </w:p>
    <w:p>
      <w:pPr>
        <w:spacing w:line="360" w:lineRule="auto"/>
        <w:rPr>
          <w:rFonts w:asciiTheme="minorEastAsia" w:hAnsiTheme="minorEastAsia"/>
          <w:sz w:val="28"/>
          <w:szCs w:val="28"/>
        </w:rPr>
      </w:pPr>
    </w:p>
    <w:p>
      <w:pPr>
        <w:spacing w:line="360" w:lineRule="auto"/>
        <w:rPr>
          <w:rFonts w:asciiTheme="minorEastAsia" w:hAnsiTheme="minorEastAsia"/>
          <w:sz w:val="28"/>
          <w:szCs w:val="28"/>
        </w:rPr>
      </w:pPr>
    </w:p>
    <w:p>
      <w:pPr>
        <w:spacing w:line="360" w:lineRule="auto"/>
        <w:rPr>
          <w:rFonts w:asciiTheme="minorEastAsia" w:hAnsiTheme="minorEastAsia"/>
          <w:sz w:val="28"/>
          <w:szCs w:val="28"/>
        </w:rPr>
      </w:pPr>
    </w:p>
    <w:p>
      <w:pPr>
        <w:spacing w:line="360" w:lineRule="auto"/>
        <w:rPr>
          <w:rFonts w:asciiTheme="minorEastAsia" w:hAnsiTheme="minorEastAsia"/>
          <w:sz w:val="28"/>
          <w:szCs w:val="28"/>
        </w:rPr>
      </w:pPr>
    </w:p>
    <w:p>
      <w:pPr>
        <w:spacing w:line="360" w:lineRule="auto"/>
        <w:rPr>
          <w:rFonts w:asciiTheme="minorEastAsia" w:hAnsiTheme="minorEastAsia"/>
          <w:sz w:val="28"/>
          <w:szCs w:val="28"/>
        </w:rPr>
      </w:pPr>
    </w:p>
    <w:p>
      <w:pPr>
        <w:spacing w:line="360" w:lineRule="auto"/>
        <w:rPr>
          <w:rFonts w:asciiTheme="minorEastAsia" w:hAnsiTheme="minorEastAsia"/>
          <w:sz w:val="28"/>
          <w:szCs w:val="28"/>
        </w:rPr>
      </w:pPr>
    </w:p>
    <w:p>
      <w:pPr>
        <w:spacing w:line="360" w:lineRule="auto"/>
        <w:rPr>
          <w:rFonts w:asciiTheme="minorEastAsia" w:hAnsiTheme="minorEastAsia"/>
          <w:sz w:val="28"/>
          <w:szCs w:val="28"/>
        </w:rPr>
      </w:pPr>
    </w:p>
    <w:p>
      <w:pPr>
        <w:spacing w:line="360" w:lineRule="auto"/>
        <w:rPr>
          <w:rFonts w:asciiTheme="minorEastAsia" w:hAnsiTheme="minorEastAsia"/>
          <w:sz w:val="28"/>
          <w:szCs w:val="28"/>
        </w:rPr>
      </w:pPr>
    </w:p>
    <w:p>
      <w:pPr>
        <w:spacing w:line="360" w:lineRule="auto"/>
        <w:rPr>
          <w:rFonts w:asciiTheme="minorEastAsia" w:hAnsiTheme="minorEastAsia"/>
          <w:sz w:val="28"/>
          <w:szCs w:val="28"/>
        </w:rPr>
      </w:pPr>
    </w:p>
    <w:p>
      <w:pPr>
        <w:widowControl/>
        <w:spacing w:line="360" w:lineRule="auto"/>
        <w:jc w:val="left"/>
        <w:rPr>
          <w:rFonts w:asciiTheme="minorEastAsia" w:hAnsiTheme="minorEastAsia"/>
          <w:sz w:val="28"/>
          <w:szCs w:val="28"/>
        </w:rPr>
      </w:pPr>
      <w:r>
        <w:rPr>
          <w:rFonts w:asciiTheme="minorEastAsia" w:hAnsiTheme="minorEastAsia"/>
          <w:sz w:val="28"/>
          <w:szCs w:val="28"/>
        </w:rPr>
        <w:br w:type="page"/>
      </w:r>
    </w:p>
    <w:p>
      <w:pPr>
        <w:pStyle w:val="2"/>
        <w:spacing w:before="0" w:after="0" w:line="360" w:lineRule="auto"/>
        <w:ind w:firstLine="562" w:firstLineChars="200"/>
        <w:jc w:val="left"/>
        <w:rPr>
          <w:rFonts w:asciiTheme="minorEastAsia" w:hAnsiTheme="minorEastAsia"/>
          <w:sz w:val="28"/>
          <w:szCs w:val="28"/>
        </w:rPr>
      </w:pPr>
      <w:bookmarkStart w:id="26" w:name="_Toc131671189"/>
      <w:r>
        <w:rPr>
          <w:rFonts w:hint="eastAsia" w:asciiTheme="minorEastAsia" w:hAnsiTheme="minorEastAsia"/>
          <w:sz w:val="28"/>
          <w:szCs w:val="28"/>
        </w:rPr>
        <w:t>（二）优化课程思政建设的考核机制</w:t>
      </w:r>
      <w:bookmarkEnd w:id="26"/>
    </w:p>
    <w:p>
      <w:pPr>
        <w:spacing w:line="360" w:lineRule="auto"/>
        <w:ind w:firstLine="560" w:firstLineChars="200"/>
        <w:rPr>
          <w:rFonts w:asciiTheme="minorEastAsia" w:hAnsiTheme="minorEastAsia"/>
          <w:color w:val="000000"/>
          <w:kern w:val="0"/>
          <w:sz w:val="28"/>
          <w:szCs w:val="28"/>
        </w:rPr>
      </w:pPr>
      <w:r>
        <w:rPr>
          <w:rFonts w:hint="eastAsia" w:asciiTheme="minorEastAsia" w:hAnsiTheme="minorEastAsia"/>
          <w:color w:val="000000"/>
          <w:kern w:val="0"/>
          <w:sz w:val="28"/>
          <w:szCs w:val="28"/>
        </w:rPr>
        <w:t>课程思政的载体是课程，实施的主体是教师。以课程为纽带的教师团队建设机制和扎实有效的考评激励机制，是课程思政教育教学改革顺利实施的重要环节。</w:t>
      </w:r>
    </w:p>
    <w:p>
      <w:pPr>
        <w:spacing w:line="360" w:lineRule="auto"/>
        <w:ind w:firstLine="562" w:firstLineChars="200"/>
        <w:rPr>
          <w:rFonts w:asciiTheme="minorEastAsia" w:hAnsiTheme="minorEastAsia"/>
          <w:b/>
          <w:color w:val="000000"/>
          <w:kern w:val="0"/>
          <w:sz w:val="28"/>
          <w:szCs w:val="28"/>
        </w:rPr>
      </w:pPr>
      <w:r>
        <w:rPr>
          <w:rFonts w:hint="eastAsia" w:asciiTheme="minorEastAsia" w:hAnsiTheme="minorEastAsia"/>
          <w:b/>
          <w:color w:val="000000"/>
          <w:kern w:val="0"/>
          <w:sz w:val="28"/>
          <w:szCs w:val="28"/>
        </w:rPr>
        <w:t>1.教育教学团队组建与联合</w:t>
      </w:r>
    </w:p>
    <w:p>
      <w:pPr>
        <w:spacing w:line="360" w:lineRule="auto"/>
        <w:ind w:firstLine="560" w:firstLineChars="200"/>
        <w:rPr>
          <w:rFonts w:asciiTheme="minorEastAsia" w:hAnsiTheme="minorEastAsia"/>
          <w:color w:val="000000"/>
          <w:kern w:val="0"/>
          <w:sz w:val="28"/>
          <w:szCs w:val="28"/>
        </w:rPr>
      </w:pPr>
      <w:r>
        <w:rPr>
          <w:rFonts w:hint="eastAsia" w:asciiTheme="minorEastAsia" w:hAnsiTheme="minorEastAsia"/>
          <w:color w:val="000000"/>
          <w:kern w:val="0"/>
          <w:sz w:val="28"/>
          <w:szCs w:val="28"/>
        </w:rPr>
        <w:t>着力构建多元主体共同参与的课程思政常态化合作团队。各二级学院（部）以试点课程为纽带，均应建立试点阶段相关课程团队，明确团队负责人、工作模式、工作目标；以试点团队建设为基础，辐射和带动至所有课程师资。马克思主义学院要制定思想政治理论课教师分头参与其它学院课程思政建设团队以及相关教师工作的方案并精心组织实施，促进和形成思想政治理论课教学与多学科间有效互补合作机制。鼓励学校不同学科教师“联盟”、校内外专家教授“结盟”，搭建多种类型的课程思政合作队伍，打通学科界限，架构内外桥梁，构筑信息沟通渠道、教学交流机制，努力实现学科、队伍之间的共建、共享、共惠。</w:t>
      </w:r>
    </w:p>
    <w:p>
      <w:pPr>
        <w:spacing w:line="360" w:lineRule="auto"/>
        <w:ind w:firstLine="562" w:firstLineChars="200"/>
        <w:rPr>
          <w:rFonts w:asciiTheme="minorEastAsia" w:hAnsiTheme="minorEastAsia"/>
          <w:b/>
          <w:color w:val="000000"/>
          <w:kern w:val="0"/>
          <w:sz w:val="28"/>
          <w:szCs w:val="28"/>
        </w:rPr>
      </w:pPr>
      <w:r>
        <w:rPr>
          <w:rFonts w:hint="eastAsia" w:asciiTheme="minorEastAsia" w:hAnsiTheme="minorEastAsia"/>
          <w:b/>
          <w:color w:val="000000"/>
          <w:kern w:val="0"/>
          <w:sz w:val="28"/>
          <w:szCs w:val="28"/>
        </w:rPr>
        <w:t>2.教育教学团队构成与运行</w:t>
      </w:r>
    </w:p>
    <w:p>
      <w:pPr>
        <w:spacing w:line="360" w:lineRule="auto"/>
        <w:ind w:firstLine="560" w:firstLineChars="200"/>
        <w:rPr>
          <w:rFonts w:asciiTheme="minorEastAsia" w:hAnsiTheme="minorEastAsia"/>
          <w:color w:val="000000"/>
          <w:kern w:val="0"/>
          <w:sz w:val="28"/>
          <w:szCs w:val="28"/>
        </w:rPr>
      </w:pPr>
      <w:r>
        <w:rPr>
          <w:rFonts w:hint="eastAsia" w:asciiTheme="minorEastAsia" w:hAnsiTheme="minorEastAsia"/>
          <w:color w:val="000000"/>
          <w:kern w:val="0"/>
          <w:sz w:val="28"/>
          <w:szCs w:val="28"/>
        </w:rPr>
        <w:t>全校各专业均应逐步建立课程思政教育教学团队，团队负责人由二级学院（部）课程思政建设工作组指定，团队成员一般应涵盖教工党支部书记、专业责任教授、教研室（系）主任、专业骨干教师等。团队应定期开展教研活动，审定本专业课程思政教改的教学大纲及授课计划，交流、研讨、深化本专业课程思政教学内容和教学模式。</w:t>
      </w:r>
    </w:p>
    <w:p>
      <w:pPr>
        <w:spacing w:line="360" w:lineRule="auto"/>
        <w:ind w:firstLine="562" w:firstLineChars="200"/>
        <w:rPr>
          <w:rFonts w:asciiTheme="minorEastAsia" w:hAnsiTheme="minorEastAsia"/>
          <w:b/>
          <w:color w:val="000000"/>
          <w:kern w:val="0"/>
          <w:sz w:val="28"/>
          <w:szCs w:val="28"/>
        </w:rPr>
      </w:pPr>
      <w:r>
        <w:rPr>
          <w:rFonts w:hint="eastAsia" w:asciiTheme="minorEastAsia" w:hAnsiTheme="minorEastAsia"/>
          <w:b/>
          <w:color w:val="000000"/>
          <w:kern w:val="0"/>
          <w:sz w:val="28"/>
          <w:szCs w:val="28"/>
        </w:rPr>
        <w:t>3.教育教学效果考评与激励</w:t>
      </w:r>
    </w:p>
    <w:p>
      <w:pPr>
        <w:spacing w:line="360" w:lineRule="auto"/>
        <w:ind w:firstLine="560" w:firstLineChars="200"/>
        <w:rPr>
          <w:rFonts w:asciiTheme="minorEastAsia" w:hAnsiTheme="minorEastAsia"/>
          <w:color w:val="000000"/>
          <w:kern w:val="0"/>
          <w:sz w:val="28"/>
          <w:szCs w:val="28"/>
        </w:rPr>
      </w:pPr>
      <w:r>
        <w:rPr>
          <w:rFonts w:hint="eastAsia" w:asciiTheme="minorEastAsia" w:hAnsiTheme="minorEastAsia"/>
          <w:color w:val="000000"/>
          <w:kern w:val="0"/>
          <w:sz w:val="28"/>
          <w:szCs w:val="28"/>
        </w:rPr>
        <w:t>充分发挥教育教学考评工作的激励作用，助推改革建设长效发展。围绕</w:t>
      </w:r>
      <w:r>
        <w:rPr>
          <w:rFonts w:asciiTheme="minorEastAsia" w:hAnsiTheme="minorEastAsia"/>
          <w:color w:val="000000"/>
          <w:kern w:val="0"/>
          <w:sz w:val="28"/>
          <w:szCs w:val="28"/>
        </w:rPr>
        <w:t>课程目标、课程内容、教学方法与手段</w:t>
      </w:r>
      <w:r>
        <w:rPr>
          <w:rFonts w:hint="eastAsia" w:asciiTheme="minorEastAsia" w:hAnsiTheme="minorEastAsia"/>
          <w:color w:val="000000"/>
          <w:kern w:val="0"/>
          <w:sz w:val="28"/>
          <w:szCs w:val="28"/>
        </w:rPr>
        <w:t>、</w:t>
      </w:r>
      <w:r>
        <w:rPr>
          <w:rFonts w:asciiTheme="minorEastAsia" w:hAnsiTheme="minorEastAsia"/>
          <w:color w:val="000000"/>
          <w:kern w:val="0"/>
          <w:sz w:val="28"/>
          <w:szCs w:val="28"/>
        </w:rPr>
        <w:t>课程考核等关键环节</w:t>
      </w:r>
      <w:r>
        <w:rPr>
          <w:rFonts w:hint="eastAsia" w:asciiTheme="minorEastAsia" w:hAnsiTheme="minorEastAsia"/>
          <w:color w:val="000000"/>
          <w:kern w:val="0"/>
          <w:sz w:val="28"/>
          <w:szCs w:val="28"/>
        </w:rPr>
        <w:t>，构建科学合理</w:t>
      </w:r>
      <w:r>
        <w:rPr>
          <w:rFonts w:asciiTheme="minorEastAsia" w:hAnsiTheme="minorEastAsia"/>
          <w:color w:val="000000"/>
          <w:kern w:val="0"/>
          <w:sz w:val="28"/>
          <w:szCs w:val="28"/>
        </w:rPr>
        <w:t>的</w:t>
      </w:r>
      <w:r>
        <w:rPr>
          <w:rFonts w:hint="eastAsia" w:asciiTheme="minorEastAsia" w:hAnsiTheme="minorEastAsia"/>
          <w:color w:val="000000"/>
          <w:kern w:val="0"/>
          <w:sz w:val="28"/>
          <w:szCs w:val="28"/>
        </w:rPr>
        <w:t>课程</w:t>
      </w:r>
      <w:r>
        <w:rPr>
          <w:rFonts w:asciiTheme="minorEastAsia" w:hAnsiTheme="minorEastAsia"/>
          <w:color w:val="000000"/>
          <w:kern w:val="0"/>
          <w:sz w:val="28"/>
          <w:szCs w:val="28"/>
        </w:rPr>
        <w:t>思政</w:t>
      </w:r>
      <w:r>
        <w:rPr>
          <w:rFonts w:hint="eastAsia" w:asciiTheme="minorEastAsia" w:hAnsiTheme="minorEastAsia"/>
          <w:color w:val="000000"/>
          <w:kern w:val="0"/>
          <w:sz w:val="28"/>
          <w:szCs w:val="28"/>
        </w:rPr>
        <w:t>质量</w:t>
      </w:r>
      <w:r>
        <w:rPr>
          <w:rFonts w:asciiTheme="minorEastAsia" w:hAnsiTheme="minorEastAsia"/>
          <w:color w:val="000000"/>
          <w:kern w:val="0"/>
          <w:sz w:val="28"/>
          <w:szCs w:val="28"/>
        </w:rPr>
        <w:t>标准体系</w:t>
      </w:r>
      <w:r>
        <w:rPr>
          <w:rFonts w:hint="eastAsia" w:asciiTheme="minorEastAsia" w:hAnsiTheme="minorEastAsia"/>
          <w:color w:val="000000"/>
          <w:kern w:val="0"/>
          <w:sz w:val="28"/>
          <w:szCs w:val="28"/>
        </w:rPr>
        <w:t>，以</w:t>
      </w:r>
      <w:r>
        <w:rPr>
          <w:rFonts w:asciiTheme="minorEastAsia" w:hAnsiTheme="minorEastAsia"/>
          <w:color w:val="000000"/>
          <w:kern w:val="0"/>
          <w:sz w:val="28"/>
          <w:szCs w:val="28"/>
        </w:rPr>
        <w:t>质量标准为依据</w:t>
      </w:r>
      <w:r>
        <w:rPr>
          <w:rFonts w:hint="eastAsia" w:asciiTheme="minorEastAsia" w:hAnsiTheme="minorEastAsia"/>
          <w:color w:val="000000"/>
          <w:kern w:val="0"/>
          <w:sz w:val="28"/>
          <w:szCs w:val="28"/>
        </w:rPr>
        <w:t>实施</w:t>
      </w:r>
      <w:r>
        <w:rPr>
          <w:rFonts w:asciiTheme="minorEastAsia" w:hAnsiTheme="minorEastAsia"/>
          <w:color w:val="000000"/>
          <w:kern w:val="0"/>
          <w:sz w:val="28"/>
          <w:szCs w:val="28"/>
        </w:rPr>
        <w:t>教学质量的闭环监控，不断提升课程教学效果。</w:t>
      </w:r>
      <w:r>
        <w:rPr>
          <w:rFonts w:hint="eastAsia" w:asciiTheme="minorEastAsia" w:hAnsiTheme="minorEastAsia"/>
          <w:color w:val="000000"/>
          <w:kern w:val="0"/>
          <w:sz w:val="28"/>
          <w:szCs w:val="28"/>
        </w:rPr>
        <w:t>在督导听课、学生评课中，将课程思政实施效果作为重要评价指标。将课程思政实施效果作为教师职务（职称）评审、岗位聘用、评优奖励等环节的重要内容。将各二级学院（部）实施课程思政教育教学改革的成效作为年度考核的重要指标。在教师职务（职称）晋升和岗位聘用以及各类评优评先中，将课程思政教育教学改革成效作为重要指标之一，激励广大教师积极参与课程思政教育教学改革的实践及研究。</w:t>
      </w:r>
    </w:p>
    <w:p>
      <w:pPr>
        <w:spacing w:line="360" w:lineRule="auto"/>
        <w:rPr>
          <w:rFonts w:asciiTheme="minorEastAsia" w:hAnsiTheme="minorEastAsia"/>
          <w:sz w:val="28"/>
          <w:szCs w:val="28"/>
        </w:rPr>
      </w:pPr>
    </w:p>
    <w:p>
      <w:pPr>
        <w:spacing w:line="360" w:lineRule="auto"/>
        <w:rPr>
          <w:rFonts w:asciiTheme="minorEastAsia" w:hAnsiTheme="minorEastAsia"/>
          <w:sz w:val="28"/>
          <w:szCs w:val="28"/>
        </w:rPr>
      </w:pPr>
    </w:p>
    <w:p>
      <w:pPr>
        <w:spacing w:line="360" w:lineRule="auto"/>
        <w:rPr>
          <w:rFonts w:asciiTheme="minorEastAsia" w:hAnsiTheme="minorEastAsia"/>
          <w:sz w:val="28"/>
          <w:szCs w:val="28"/>
        </w:rPr>
      </w:pPr>
    </w:p>
    <w:p>
      <w:pPr>
        <w:spacing w:line="360" w:lineRule="auto"/>
        <w:rPr>
          <w:rFonts w:asciiTheme="minorEastAsia" w:hAnsiTheme="minorEastAsia"/>
          <w:sz w:val="28"/>
          <w:szCs w:val="28"/>
        </w:rPr>
      </w:pPr>
    </w:p>
    <w:p>
      <w:pPr>
        <w:spacing w:line="360" w:lineRule="auto"/>
        <w:rPr>
          <w:rFonts w:asciiTheme="minorEastAsia" w:hAnsiTheme="minorEastAsia"/>
          <w:sz w:val="28"/>
          <w:szCs w:val="28"/>
        </w:rPr>
      </w:pPr>
    </w:p>
    <w:p>
      <w:pPr>
        <w:spacing w:line="360" w:lineRule="auto"/>
        <w:rPr>
          <w:rFonts w:asciiTheme="minorEastAsia" w:hAnsiTheme="minorEastAsia"/>
          <w:sz w:val="28"/>
          <w:szCs w:val="28"/>
        </w:rPr>
      </w:pPr>
    </w:p>
    <w:p>
      <w:pPr>
        <w:widowControl/>
        <w:spacing w:line="360" w:lineRule="auto"/>
        <w:jc w:val="left"/>
        <w:rPr>
          <w:rFonts w:asciiTheme="minorEastAsia" w:hAnsiTheme="minorEastAsia"/>
          <w:sz w:val="28"/>
          <w:szCs w:val="28"/>
        </w:rPr>
      </w:pPr>
      <w:r>
        <w:rPr>
          <w:rFonts w:asciiTheme="minorEastAsia" w:hAnsiTheme="minorEastAsia"/>
          <w:sz w:val="28"/>
          <w:szCs w:val="28"/>
        </w:rPr>
        <w:br w:type="page"/>
      </w:r>
    </w:p>
    <w:p>
      <w:pPr>
        <w:pStyle w:val="2"/>
        <w:spacing w:before="0" w:after="0" w:line="360" w:lineRule="auto"/>
        <w:ind w:firstLine="562" w:firstLineChars="200"/>
        <w:jc w:val="left"/>
        <w:rPr>
          <w:rFonts w:asciiTheme="minorEastAsia" w:hAnsiTheme="minorEastAsia"/>
          <w:sz w:val="28"/>
          <w:szCs w:val="28"/>
        </w:rPr>
      </w:pPr>
      <w:bookmarkStart w:id="27" w:name="_Toc131671190"/>
      <w:r>
        <w:rPr>
          <w:rFonts w:hint="eastAsia" w:asciiTheme="minorEastAsia" w:hAnsiTheme="minorEastAsia"/>
          <w:sz w:val="28"/>
          <w:szCs w:val="28"/>
        </w:rPr>
        <w:t>（三）研制课程思政考核指标</w:t>
      </w:r>
      <w:bookmarkEnd w:id="27"/>
    </w:p>
    <w:p>
      <w:pPr>
        <w:spacing w:line="360" w:lineRule="auto"/>
        <w:ind w:firstLine="560" w:firstLineChars="200"/>
        <w:rPr>
          <w:rFonts w:asciiTheme="minorEastAsia" w:hAnsiTheme="minorEastAsia"/>
          <w:color w:val="000000"/>
          <w:kern w:val="0"/>
          <w:sz w:val="28"/>
          <w:szCs w:val="28"/>
        </w:rPr>
      </w:pPr>
      <w:r>
        <w:rPr>
          <w:rFonts w:hint="eastAsia" w:asciiTheme="minorEastAsia" w:hAnsiTheme="minorEastAsia"/>
          <w:color w:val="000000"/>
          <w:kern w:val="0"/>
          <w:sz w:val="28"/>
          <w:szCs w:val="28"/>
        </w:rPr>
        <w:t>全面加强上海高校课程思政整体改革领航高校”项目的建设任务考核，采用以领航学院、领航团队、领航课程为经，以科学研究、专业建设、实践基地、师资队伍为纬，以课程思政专业教学指南、教学案例为重，推进领航学院、领航团队、领航课程建设与考核。</w:t>
      </w:r>
      <w:r>
        <w:rPr>
          <w:rFonts w:hint="eastAsia" w:asciiTheme="minorEastAsia" w:hAnsiTheme="minorEastAsia"/>
          <w:sz w:val="28"/>
          <w:szCs w:val="28"/>
        </w:rPr>
        <w:t>研制课程思政考核指标，具体见下表。</w:t>
      </w:r>
    </w:p>
    <w:tbl>
      <w:tblPr>
        <w:tblStyle w:val="11"/>
        <w:tblW w:w="9675" w:type="dxa"/>
        <w:tblInd w:w="0" w:type="dxa"/>
        <w:tblLayout w:type="autofit"/>
        <w:tblCellMar>
          <w:top w:w="0" w:type="dxa"/>
          <w:left w:w="108" w:type="dxa"/>
          <w:bottom w:w="0" w:type="dxa"/>
          <w:right w:w="108" w:type="dxa"/>
        </w:tblCellMar>
      </w:tblPr>
      <w:tblGrid>
        <w:gridCol w:w="820"/>
        <w:gridCol w:w="967"/>
        <w:gridCol w:w="1266"/>
        <w:gridCol w:w="3929"/>
        <w:gridCol w:w="709"/>
        <w:gridCol w:w="850"/>
        <w:gridCol w:w="1134"/>
      </w:tblGrid>
      <w:tr>
        <w:tblPrEx>
          <w:tblCellMar>
            <w:top w:w="0" w:type="dxa"/>
            <w:left w:w="108" w:type="dxa"/>
            <w:bottom w:w="0" w:type="dxa"/>
            <w:right w:w="108" w:type="dxa"/>
          </w:tblCellMar>
        </w:tblPrEx>
        <w:trPr>
          <w:trHeight w:val="799" w:hRule="atLeast"/>
        </w:trPr>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考核内容</w:t>
            </w:r>
          </w:p>
        </w:tc>
        <w:tc>
          <w:tcPr>
            <w:tcW w:w="967"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一级指标</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二级指标</w:t>
            </w:r>
          </w:p>
        </w:tc>
        <w:tc>
          <w:tcPr>
            <w:tcW w:w="3969"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指标点</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分值</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评价方式</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数据（材料）来源</w:t>
            </w:r>
          </w:p>
        </w:tc>
      </w:tr>
      <w:tr>
        <w:tblPrEx>
          <w:tblCellMar>
            <w:top w:w="0" w:type="dxa"/>
            <w:left w:w="108" w:type="dxa"/>
            <w:bottom w:w="0" w:type="dxa"/>
            <w:right w:w="108" w:type="dxa"/>
          </w:tblCellMar>
        </w:tblPrEx>
        <w:trPr>
          <w:trHeight w:val="840" w:hRule="atLeast"/>
        </w:trPr>
        <w:tc>
          <w:tcPr>
            <w:tcW w:w="77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xml:space="preserve">1.基础工作（权重：60%）              </w:t>
            </w:r>
          </w:p>
        </w:tc>
        <w:tc>
          <w:tcPr>
            <w:tcW w:w="967"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机制建设（15分）</w:t>
            </w:r>
          </w:p>
        </w:tc>
        <w:tc>
          <w:tcPr>
            <w:tcW w:w="127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组织领导</w:t>
            </w:r>
          </w:p>
        </w:tc>
        <w:tc>
          <w:tcPr>
            <w:tcW w:w="3969"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组织机构健全；党政联席会每学期至少1次专题研究部署课程思政。</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3</w:t>
            </w:r>
          </w:p>
        </w:tc>
        <w:tc>
          <w:tcPr>
            <w:tcW w:w="850"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定性</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学院举证</w:t>
            </w:r>
          </w:p>
        </w:tc>
      </w:tr>
      <w:tr>
        <w:tblPrEx>
          <w:tblCellMar>
            <w:top w:w="0" w:type="dxa"/>
            <w:left w:w="108" w:type="dxa"/>
            <w:bottom w:w="0" w:type="dxa"/>
            <w:right w:w="108" w:type="dxa"/>
          </w:tblCellMar>
        </w:tblPrEx>
        <w:trPr>
          <w:trHeight w:val="942" w:hRule="atLeast"/>
        </w:trPr>
        <w:tc>
          <w:tcPr>
            <w:tcW w:w="77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ascii="宋体" w:hAnsi="宋体" w:eastAsia="宋体" w:cs="宋体"/>
                <w:b/>
                <w:bCs/>
                <w:color w:val="000000"/>
                <w:kern w:val="0"/>
                <w:sz w:val="24"/>
                <w:szCs w:val="24"/>
              </w:rPr>
            </w:pPr>
          </w:p>
        </w:tc>
        <w:tc>
          <w:tcPr>
            <w:tcW w:w="967"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ascii="宋体" w:hAnsi="宋体" w:eastAsia="宋体" w:cs="宋体"/>
                <w:color w:val="000000"/>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ascii="宋体" w:hAnsi="宋体" w:eastAsia="宋体" w:cs="宋体"/>
                <w:color w:val="000000"/>
                <w:kern w:val="0"/>
                <w:sz w:val="24"/>
                <w:szCs w:val="24"/>
              </w:rPr>
            </w:pPr>
          </w:p>
        </w:tc>
        <w:tc>
          <w:tcPr>
            <w:tcW w:w="3969"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建立健全党政协同，学院-专业（团队）-课程分层落实的工作机制。</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850"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定性</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学院举证</w:t>
            </w:r>
          </w:p>
        </w:tc>
      </w:tr>
      <w:tr>
        <w:tblPrEx>
          <w:tblCellMar>
            <w:top w:w="0" w:type="dxa"/>
            <w:left w:w="108" w:type="dxa"/>
            <w:bottom w:w="0" w:type="dxa"/>
            <w:right w:w="108" w:type="dxa"/>
          </w:tblCellMar>
        </w:tblPrEx>
        <w:trPr>
          <w:trHeight w:val="1200" w:hRule="atLeast"/>
        </w:trPr>
        <w:tc>
          <w:tcPr>
            <w:tcW w:w="77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ascii="宋体" w:hAnsi="宋体" w:eastAsia="宋体" w:cs="宋体"/>
                <w:b/>
                <w:bCs/>
                <w:color w:val="000000"/>
                <w:kern w:val="0"/>
                <w:sz w:val="24"/>
                <w:szCs w:val="24"/>
              </w:rPr>
            </w:pPr>
          </w:p>
        </w:tc>
        <w:tc>
          <w:tcPr>
            <w:tcW w:w="967"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ascii="宋体" w:hAnsi="宋体" w:eastAsia="宋体" w:cs="宋体"/>
                <w:color w:val="000000"/>
                <w:kern w:val="0"/>
                <w:sz w:val="24"/>
                <w:szCs w:val="24"/>
              </w:rPr>
            </w:pPr>
          </w:p>
        </w:tc>
        <w:tc>
          <w:tcPr>
            <w:tcW w:w="127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制度建设</w:t>
            </w:r>
          </w:p>
        </w:tc>
        <w:tc>
          <w:tcPr>
            <w:tcW w:w="3969"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学院课程思政建设有计划、有总结，把课程思政建设情况作为教师评聘、考核、评优奖励等的重要内容。</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5</w:t>
            </w:r>
          </w:p>
        </w:tc>
        <w:tc>
          <w:tcPr>
            <w:tcW w:w="850"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定性</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学院举证</w:t>
            </w:r>
          </w:p>
        </w:tc>
      </w:tr>
      <w:tr>
        <w:tblPrEx>
          <w:tblCellMar>
            <w:top w:w="0" w:type="dxa"/>
            <w:left w:w="108" w:type="dxa"/>
            <w:bottom w:w="0" w:type="dxa"/>
            <w:right w:w="108" w:type="dxa"/>
          </w:tblCellMar>
        </w:tblPrEx>
        <w:trPr>
          <w:trHeight w:val="1200" w:hRule="atLeast"/>
        </w:trPr>
        <w:tc>
          <w:tcPr>
            <w:tcW w:w="77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ascii="宋体" w:hAnsi="宋体" w:eastAsia="宋体" w:cs="宋体"/>
                <w:b/>
                <w:bCs/>
                <w:color w:val="000000"/>
                <w:kern w:val="0"/>
                <w:sz w:val="24"/>
                <w:szCs w:val="24"/>
              </w:rPr>
            </w:pPr>
          </w:p>
        </w:tc>
        <w:tc>
          <w:tcPr>
            <w:tcW w:w="967"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ascii="宋体" w:hAnsi="宋体" w:eastAsia="宋体" w:cs="宋体"/>
                <w:color w:val="000000"/>
                <w:kern w:val="0"/>
                <w:sz w:val="24"/>
                <w:szCs w:val="24"/>
              </w:rPr>
            </w:pPr>
          </w:p>
        </w:tc>
        <w:tc>
          <w:tcPr>
            <w:tcW w:w="127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资源保障</w:t>
            </w:r>
          </w:p>
        </w:tc>
        <w:tc>
          <w:tcPr>
            <w:tcW w:w="3969"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完善教材选用制度，讲好用好马工程教材；鼓励教师编写体现价值引领、兼具思想性时代性科学性的优秀教材；引入校外行业企业资源，共建共享。</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5</w:t>
            </w:r>
          </w:p>
        </w:tc>
        <w:tc>
          <w:tcPr>
            <w:tcW w:w="850"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定性</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学院举证</w:t>
            </w:r>
          </w:p>
        </w:tc>
      </w:tr>
      <w:tr>
        <w:tblPrEx>
          <w:tblCellMar>
            <w:top w:w="0" w:type="dxa"/>
            <w:left w:w="108" w:type="dxa"/>
            <w:bottom w:w="0" w:type="dxa"/>
            <w:right w:w="108" w:type="dxa"/>
          </w:tblCellMar>
        </w:tblPrEx>
        <w:trPr>
          <w:trHeight w:val="919" w:hRule="atLeast"/>
        </w:trPr>
        <w:tc>
          <w:tcPr>
            <w:tcW w:w="77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ascii="宋体" w:hAnsi="宋体" w:eastAsia="宋体" w:cs="宋体"/>
                <w:b/>
                <w:bCs/>
                <w:color w:val="000000"/>
                <w:kern w:val="0"/>
                <w:sz w:val="24"/>
                <w:szCs w:val="24"/>
              </w:rPr>
            </w:pPr>
          </w:p>
        </w:tc>
        <w:tc>
          <w:tcPr>
            <w:tcW w:w="967"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教师队伍建设（15分）</w:t>
            </w:r>
          </w:p>
        </w:tc>
        <w:tc>
          <w:tcPr>
            <w:tcW w:w="127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教师培训</w:t>
            </w:r>
          </w:p>
        </w:tc>
        <w:tc>
          <w:tcPr>
            <w:tcW w:w="3969"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按要求参加学校组织的课程思政教师培训和教学观摩、汇报、交流和成果展示等。</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3</w:t>
            </w:r>
          </w:p>
        </w:tc>
        <w:tc>
          <w:tcPr>
            <w:tcW w:w="850"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定性</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过程评价</w:t>
            </w:r>
          </w:p>
        </w:tc>
      </w:tr>
      <w:tr>
        <w:tblPrEx>
          <w:tblCellMar>
            <w:top w:w="0" w:type="dxa"/>
            <w:left w:w="108" w:type="dxa"/>
            <w:bottom w:w="0" w:type="dxa"/>
            <w:right w:w="108" w:type="dxa"/>
          </w:tblCellMar>
        </w:tblPrEx>
        <w:trPr>
          <w:trHeight w:val="1039" w:hRule="atLeast"/>
        </w:trPr>
        <w:tc>
          <w:tcPr>
            <w:tcW w:w="77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ascii="宋体" w:hAnsi="宋体" w:eastAsia="宋体" w:cs="宋体"/>
                <w:b/>
                <w:bCs/>
                <w:color w:val="000000"/>
                <w:kern w:val="0"/>
                <w:sz w:val="24"/>
                <w:szCs w:val="24"/>
              </w:rPr>
            </w:pPr>
          </w:p>
        </w:tc>
        <w:tc>
          <w:tcPr>
            <w:tcW w:w="967"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ascii="宋体" w:hAnsi="宋体" w:eastAsia="宋体" w:cs="宋体"/>
                <w:color w:val="000000"/>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ascii="宋体" w:hAnsi="宋体" w:eastAsia="宋体" w:cs="宋体"/>
                <w:color w:val="000000"/>
                <w:kern w:val="0"/>
                <w:sz w:val="24"/>
                <w:szCs w:val="24"/>
              </w:rPr>
            </w:pPr>
          </w:p>
        </w:tc>
        <w:tc>
          <w:tcPr>
            <w:tcW w:w="3969"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在学院内部开展经常性的典型经验交流、现场教学观摩、教师教学培训等活动。</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5</w:t>
            </w:r>
          </w:p>
        </w:tc>
        <w:tc>
          <w:tcPr>
            <w:tcW w:w="850"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定性</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学院举证</w:t>
            </w:r>
          </w:p>
        </w:tc>
      </w:tr>
      <w:tr>
        <w:tblPrEx>
          <w:tblCellMar>
            <w:top w:w="0" w:type="dxa"/>
            <w:left w:w="108" w:type="dxa"/>
            <w:bottom w:w="0" w:type="dxa"/>
            <w:right w:w="108" w:type="dxa"/>
          </w:tblCellMar>
        </w:tblPrEx>
        <w:trPr>
          <w:trHeight w:val="557" w:hRule="atLeast"/>
        </w:trPr>
        <w:tc>
          <w:tcPr>
            <w:tcW w:w="77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ascii="宋体" w:hAnsi="宋体" w:eastAsia="宋体" w:cs="宋体"/>
                <w:b/>
                <w:bCs/>
                <w:color w:val="000000"/>
                <w:kern w:val="0"/>
                <w:sz w:val="24"/>
                <w:szCs w:val="24"/>
              </w:rPr>
            </w:pPr>
          </w:p>
        </w:tc>
        <w:tc>
          <w:tcPr>
            <w:tcW w:w="967"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ascii="宋体" w:hAnsi="宋体" w:eastAsia="宋体" w:cs="宋体"/>
                <w:color w:val="000000"/>
                <w:kern w:val="0"/>
                <w:sz w:val="24"/>
                <w:szCs w:val="24"/>
              </w:rPr>
            </w:pPr>
          </w:p>
        </w:tc>
        <w:tc>
          <w:tcPr>
            <w:tcW w:w="127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教研文化</w:t>
            </w:r>
          </w:p>
        </w:tc>
        <w:tc>
          <w:tcPr>
            <w:tcW w:w="3969"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发挥教研室、教学团队、课程组等基层教学组织作用，建立课程思政集体教研制度。</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850"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定性</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学院举证</w:t>
            </w:r>
          </w:p>
        </w:tc>
      </w:tr>
      <w:tr>
        <w:tblPrEx>
          <w:tblCellMar>
            <w:top w:w="0" w:type="dxa"/>
            <w:left w:w="108" w:type="dxa"/>
            <w:bottom w:w="0" w:type="dxa"/>
            <w:right w:w="108" w:type="dxa"/>
          </w:tblCellMar>
        </w:tblPrEx>
        <w:trPr>
          <w:trHeight w:val="707" w:hRule="atLeast"/>
        </w:trPr>
        <w:tc>
          <w:tcPr>
            <w:tcW w:w="77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ascii="宋体" w:hAnsi="宋体" w:eastAsia="宋体" w:cs="宋体"/>
                <w:b/>
                <w:bCs/>
                <w:color w:val="000000"/>
                <w:kern w:val="0"/>
                <w:sz w:val="24"/>
                <w:szCs w:val="24"/>
              </w:rPr>
            </w:pPr>
          </w:p>
        </w:tc>
        <w:tc>
          <w:tcPr>
            <w:tcW w:w="967"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ascii="宋体" w:hAnsi="宋体" w:eastAsia="宋体" w:cs="宋体"/>
                <w:color w:val="000000"/>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ascii="宋体" w:hAnsi="宋体" w:eastAsia="宋体" w:cs="宋体"/>
                <w:color w:val="000000"/>
                <w:kern w:val="0"/>
                <w:sz w:val="24"/>
                <w:szCs w:val="24"/>
              </w:rPr>
            </w:pPr>
          </w:p>
        </w:tc>
        <w:tc>
          <w:tcPr>
            <w:tcW w:w="3969"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课程思政研究课题数</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5</w:t>
            </w:r>
          </w:p>
        </w:tc>
        <w:tc>
          <w:tcPr>
            <w:tcW w:w="850"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定量</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公开发文</w:t>
            </w:r>
          </w:p>
        </w:tc>
      </w:tr>
      <w:tr>
        <w:tblPrEx>
          <w:tblCellMar>
            <w:top w:w="0" w:type="dxa"/>
            <w:left w:w="108" w:type="dxa"/>
            <w:bottom w:w="0" w:type="dxa"/>
            <w:right w:w="108" w:type="dxa"/>
          </w:tblCellMar>
        </w:tblPrEx>
        <w:trPr>
          <w:trHeight w:val="1020" w:hRule="atLeast"/>
        </w:trPr>
        <w:tc>
          <w:tcPr>
            <w:tcW w:w="77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ascii="宋体" w:hAnsi="宋体" w:eastAsia="宋体" w:cs="宋体"/>
                <w:b/>
                <w:bCs/>
                <w:color w:val="000000"/>
                <w:kern w:val="0"/>
                <w:sz w:val="24"/>
                <w:szCs w:val="24"/>
              </w:rPr>
            </w:pPr>
          </w:p>
        </w:tc>
        <w:tc>
          <w:tcPr>
            <w:tcW w:w="967"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教学管理（40分）</w:t>
            </w:r>
          </w:p>
        </w:tc>
        <w:tc>
          <w:tcPr>
            <w:tcW w:w="127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培养方案</w:t>
            </w:r>
          </w:p>
        </w:tc>
        <w:tc>
          <w:tcPr>
            <w:tcW w:w="3969"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培养目标体现五育并举，毕业要求和课程体系科学合理，对育德目标有明确要求和课程支撑。</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5</w:t>
            </w:r>
          </w:p>
        </w:tc>
        <w:tc>
          <w:tcPr>
            <w:tcW w:w="850"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定性</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过程评价</w:t>
            </w:r>
          </w:p>
        </w:tc>
      </w:tr>
      <w:tr>
        <w:tblPrEx>
          <w:tblCellMar>
            <w:top w:w="0" w:type="dxa"/>
            <w:left w:w="108" w:type="dxa"/>
            <w:bottom w:w="0" w:type="dxa"/>
            <w:right w:w="108" w:type="dxa"/>
          </w:tblCellMar>
        </w:tblPrEx>
        <w:trPr>
          <w:trHeight w:val="1276" w:hRule="atLeast"/>
        </w:trPr>
        <w:tc>
          <w:tcPr>
            <w:tcW w:w="77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ascii="宋体" w:hAnsi="宋体" w:eastAsia="宋体" w:cs="宋体"/>
                <w:b/>
                <w:bCs/>
                <w:color w:val="000000"/>
                <w:kern w:val="0"/>
                <w:sz w:val="24"/>
                <w:szCs w:val="24"/>
              </w:rPr>
            </w:pPr>
          </w:p>
        </w:tc>
        <w:tc>
          <w:tcPr>
            <w:tcW w:w="967"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ascii="宋体" w:hAnsi="宋体" w:eastAsia="宋体" w:cs="宋体"/>
                <w:color w:val="000000"/>
                <w:kern w:val="0"/>
                <w:sz w:val="24"/>
                <w:szCs w:val="24"/>
              </w:rPr>
            </w:pPr>
          </w:p>
        </w:tc>
        <w:tc>
          <w:tcPr>
            <w:tcW w:w="127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专业课程建设</w:t>
            </w:r>
          </w:p>
        </w:tc>
        <w:tc>
          <w:tcPr>
            <w:tcW w:w="3969"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课程思政示范中心、示范专业、领航课群、领航课程建设数</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15</w:t>
            </w:r>
          </w:p>
        </w:tc>
        <w:tc>
          <w:tcPr>
            <w:tcW w:w="850"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定量</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公开发文</w:t>
            </w:r>
          </w:p>
        </w:tc>
      </w:tr>
      <w:tr>
        <w:tblPrEx>
          <w:tblCellMar>
            <w:top w:w="0" w:type="dxa"/>
            <w:left w:w="108" w:type="dxa"/>
            <w:bottom w:w="0" w:type="dxa"/>
            <w:right w:w="108" w:type="dxa"/>
          </w:tblCellMar>
        </w:tblPrEx>
        <w:trPr>
          <w:trHeight w:val="1080" w:hRule="atLeast"/>
        </w:trPr>
        <w:tc>
          <w:tcPr>
            <w:tcW w:w="77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ascii="宋体" w:hAnsi="宋体" w:eastAsia="宋体" w:cs="宋体"/>
                <w:b/>
                <w:bCs/>
                <w:color w:val="000000"/>
                <w:kern w:val="0"/>
                <w:sz w:val="24"/>
                <w:szCs w:val="24"/>
              </w:rPr>
            </w:pPr>
          </w:p>
        </w:tc>
        <w:tc>
          <w:tcPr>
            <w:tcW w:w="967"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ascii="宋体" w:hAnsi="宋体" w:eastAsia="宋体" w:cs="宋体"/>
                <w:color w:val="000000"/>
                <w:kern w:val="0"/>
                <w:sz w:val="24"/>
                <w:szCs w:val="24"/>
              </w:rPr>
            </w:pPr>
          </w:p>
        </w:tc>
        <w:tc>
          <w:tcPr>
            <w:tcW w:w="127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教学环节</w:t>
            </w:r>
          </w:p>
        </w:tc>
        <w:tc>
          <w:tcPr>
            <w:tcW w:w="3969"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将课程思政落实到教学大纲、教案和授课课件中。</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10</w:t>
            </w:r>
          </w:p>
        </w:tc>
        <w:tc>
          <w:tcPr>
            <w:tcW w:w="850"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定性</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过程评价</w:t>
            </w:r>
          </w:p>
        </w:tc>
      </w:tr>
      <w:tr>
        <w:tblPrEx>
          <w:tblCellMar>
            <w:top w:w="0" w:type="dxa"/>
            <w:left w:w="108" w:type="dxa"/>
            <w:bottom w:w="0" w:type="dxa"/>
            <w:right w:w="108" w:type="dxa"/>
          </w:tblCellMar>
        </w:tblPrEx>
        <w:trPr>
          <w:trHeight w:val="799" w:hRule="atLeast"/>
        </w:trPr>
        <w:tc>
          <w:tcPr>
            <w:tcW w:w="77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ascii="宋体" w:hAnsi="宋体" w:eastAsia="宋体" w:cs="宋体"/>
                <w:b/>
                <w:bCs/>
                <w:color w:val="000000"/>
                <w:kern w:val="0"/>
                <w:sz w:val="24"/>
                <w:szCs w:val="24"/>
              </w:rPr>
            </w:pPr>
          </w:p>
        </w:tc>
        <w:tc>
          <w:tcPr>
            <w:tcW w:w="967"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ascii="宋体" w:hAnsi="宋体" w:eastAsia="宋体" w:cs="宋体"/>
                <w:color w:val="000000"/>
                <w:kern w:val="0"/>
                <w:sz w:val="24"/>
                <w:szCs w:val="24"/>
              </w:rPr>
            </w:pPr>
          </w:p>
        </w:tc>
        <w:tc>
          <w:tcPr>
            <w:tcW w:w="127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质量评价</w:t>
            </w:r>
          </w:p>
        </w:tc>
        <w:tc>
          <w:tcPr>
            <w:tcW w:w="3969"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将课程思政建设情况作为教学督导和领导听课的重要内容。</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5</w:t>
            </w:r>
          </w:p>
        </w:tc>
        <w:tc>
          <w:tcPr>
            <w:tcW w:w="850"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定性</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学院举证</w:t>
            </w:r>
          </w:p>
        </w:tc>
      </w:tr>
      <w:tr>
        <w:tblPrEx>
          <w:tblCellMar>
            <w:top w:w="0" w:type="dxa"/>
            <w:left w:w="108" w:type="dxa"/>
            <w:bottom w:w="0" w:type="dxa"/>
            <w:right w:w="108" w:type="dxa"/>
          </w:tblCellMar>
        </w:tblPrEx>
        <w:trPr>
          <w:trHeight w:val="720" w:hRule="atLeast"/>
        </w:trPr>
        <w:tc>
          <w:tcPr>
            <w:tcW w:w="77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ascii="宋体" w:hAnsi="宋体" w:eastAsia="宋体" w:cs="宋体"/>
                <w:b/>
                <w:bCs/>
                <w:color w:val="000000"/>
                <w:kern w:val="0"/>
                <w:sz w:val="24"/>
                <w:szCs w:val="24"/>
              </w:rPr>
            </w:pPr>
          </w:p>
        </w:tc>
        <w:tc>
          <w:tcPr>
            <w:tcW w:w="967"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ascii="宋体" w:hAnsi="宋体" w:eastAsia="宋体" w:cs="宋体"/>
                <w:color w:val="000000"/>
                <w:kern w:val="0"/>
                <w:sz w:val="24"/>
                <w:szCs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ascii="宋体" w:hAnsi="宋体" w:eastAsia="宋体" w:cs="宋体"/>
                <w:color w:val="000000"/>
                <w:kern w:val="0"/>
                <w:sz w:val="24"/>
                <w:szCs w:val="24"/>
              </w:rPr>
            </w:pPr>
          </w:p>
        </w:tc>
        <w:tc>
          <w:tcPr>
            <w:tcW w:w="3969"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对课程思政建设效果开展经常化、制度化、规范化的考核评价。</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5</w:t>
            </w:r>
          </w:p>
        </w:tc>
        <w:tc>
          <w:tcPr>
            <w:tcW w:w="850"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定性</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学院举证</w:t>
            </w:r>
          </w:p>
        </w:tc>
      </w:tr>
      <w:tr>
        <w:tblPrEx>
          <w:tblCellMar>
            <w:top w:w="0" w:type="dxa"/>
            <w:left w:w="108" w:type="dxa"/>
            <w:bottom w:w="0" w:type="dxa"/>
            <w:right w:w="108" w:type="dxa"/>
          </w:tblCellMar>
        </w:tblPrEx>
        <w:trPr>
          <w:trHeight w:val="1159" w:hRule="atLeast"/>
        </w:trPr>
        <w:tc>
          <w:tcPr>
            <w:tcW w:w="77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ascii="宋体" w:hAnsi="宋体" w:eastAsia="宋体" w:cs="宋体"/>
                <w:b/>
                <w:bCs/>
                <w:color w:val="000000"/>
                <w:kern w:val="0"/>
                <w:sz w:val="24"/>
                <w:szCs w:val="24"/>
              </w:rPr>
            </w:pPr>
          </w:p>
        </w:tc>
        <w:tc>
          <w:tcPr>
            <w:tcW w:w="967"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效果及影响力（30分）</w:t>
            </w:r>
          </w:p>
        </w:tc>
        <w:tc>
          <w:tcPr>
            <w:tcW w:w="127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研究成果</w:t>
            </w:r>
          </w:p>
        </w:tc>
        <w:tc>
          <w:tcPr>
            <w:tcW w:w="3969"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公开发表课程思政研究论文或外宣报道。（内容一般含“课程思政”关键字）</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10</w:t>
            </w:r>
          </w:p>
        </w:tc>
        <w:tc>
          <w:tcPr>
            <w:tcW w:w="850"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定量</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学院汇总</w:t>
            </w:r>
          </w:p>
        </w:tc>
      </w:tr>
      <w:tr>
        <w:tblPrEx>
          <w:tblCellMar>
            <w:top w:w="0" w:type="dxa"/>
            <w:left w:w="108" w:type="dxa"/>
            <w:bottom w:w="0" w:type="dxa"/>
            <w:right w:w="108" w:type="dxa"/>
          </w:tblCellMar>
        </w:tblPrEx>
        <w:trPr>
          <w:trHeight w:val="884" w:hRule="atLeast"/>
        </w:trPr>
        <w:tc>
          <w:tcPr>
            <w:tcW w:w="77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ascii="宋体" w:hAnsi="宋体" w:eastAsia="宋体" w:cs="宋体"/>
                <w:b/>
                <w:bCs/>
                <w:color w:val="000000"/>
                <w:kern w:val="0"/>
                <w:sz w:val="24"/>
                <w:szCs w:val="24"/>
              </w:rPr>
            </w:pPr>
          </w:p>
        </w:tc>
        <w:tc>
          <w:tcPr>
            <w:tcW w:w="967"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ascii="宋体" w:hAnsi="宋体" w:eastAsia="宋体" w:cs="宋体"/>
                <w:color w:val="000000"/>
                <w:kern w:val="0"/>
                <w:sz w:val="24"/>
                <w:szCs w:val="24"/>
              </w:rPr>
            </w:pPr>
          </w:p>
        </w:tc>
        <w:tc>
          <w:tcPr>
            <w:tcW w:w="127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经验交流</w:t>
            </w:r>
          </w:p>
        </w:tc>
        <w:tc>
          <w:tcPr>
            <w:tcW w:w="3969"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作课程思政报告、讲座</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5</w:t>
            </w:r>
          </w:p>
        </w:tc>
        <w:tc>
          <w:tcPr>
            <w:tcW w:w="850"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定量</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过程评价</w:t>
            </w:r>
          </w:p>
        </w:tc>
      </w:tr>
      <w:tr>
        <w:tblPrEx>
          <w:tblCellMar>
            <w:top w:w="0" w:type="dxa"/>
            <w:left w:w="108" w:type="dxa"/>
            <w:bottom w:w="0" w:type="dxa"/>
            <w:right w:w="108" w:type="dxa"/>
          </w:tblCellMar>
        </w:tblPrEx>
        <w:trPr>
          <w:trHeight w:val="712" w:hRule="atLeast"/>
        </w:trPr>
        <w:tc>
          <w:tcPr>
            <w:tcW w:w="77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ascii="宋体" w:hAnsi="宋体" w:eastAsia="宋体" w:cs="宋体"/>
                <w:b/>
                <w:bCs/>
                <w:color w:val="000000"/>
                <w:kern w:val="0"/>
                <w:sz w:val="24"/>
                <w:szCs w:val="24"/>
              </w:rPr>
            </w:pPr>
          </w:p>
        </w:tc>
        <w:tc>
          <w:tcPr>
            <w:tcW w:w="967"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rFonts w:ascii="宋体" w:hAnsi="宋体" w:eastAsia="宋体" w:cs="宋体"/>
                <w:color w:val="000000"/>
                <w:kern w:val="0"/>
                <w:sz w:val="24"/>
                <w:szCs w:val="24"/>
              </w:rPr>
            </w:pPr>
          </w:p>
        </w:tc>
        <w:tc>
          <w:tcPr>
            <w:tcW w:w="1276"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线上案例课</w:t>
            </w:r>
          </w:p>
        </w:tc>
        <w:tc>
          <w:tcPr>
            <w:tcW w:w="3969"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按要求完成线上案例课建设。</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15</w:t>
            </w:r>
          </w:p>
        </w:tc>
        <w:tc>
          <w:tcPr>
            <w:tcW w:w="850"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定量</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过程评价</w:t>
            </w:r>
          </w:p>
        </w:tc>
      </w:tr>
      <w:tr>
        <w:tblPrEx>
          <w:tblCellMar>
            <w:top w:w="0" w:type="dxa"/>
            <w:left w:w="108" w:type="dxa"/>
            <w:bottom w:w="0" w:type="dxa"/>
            <w:right w:w="108" w:type="dxa"/>
          </w:tblCellMar>
        </w:tblPrEx>
        <w:trPr>
          <w:trHeight w:val="2441" w:hRule="atLeast"/>
        </w:trPr>
        <w:tc>
          <w:tcPr>
            <w:tcW w:w="770"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 xml:space="preserve">2.特色亮点（权重：40%）                    </w:t>
            </w:r>
          </w:p>
        </w:tc>
        <w:tc>
          <w:tcPr>
            <w:tcW w:w="6212"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学院为完成上述工作采取的创新举措；除上述工作以外开展的特色建设内容</w:t>
            </w:r>
          </w:p>
        </w:tc>
        <w:tc>
          <w:tcPr>
            <w:tcW w:w="709"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100分</w:t>
            </w:r>
          </w:p>
        </w:tc>
        <w:tc>
          <w:tcPr>
            <w:tcW w:w="850"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定性</w:t>
            </w:r>
          </w:p>
        </w:tc>
        <w:tc>
          <w:tcPr>
            <w:tcW w:w="1134"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学院提交总结材料</w:t>
            </w:r>
          </w:p>
        </w:tc>
      </w:tr>
    </w:tbl>
    <w:p>
      <w:pPr>
        <w:widowControl/>
        <w:spacing w:line="360" w:lineRule="auto"/>
        <w:jc w:val="left"/>
        <w:rPr>
          <w:rFonts w:asciiTheme="minorEastAsia" w:hAnsiTheme="minorEastAsia"/>
          <w:sz w:val="28"/>
          <w:szCs w:val="28"/>
        </w:rPr>
      </w:pPr>
      <w:r>
        <w:rPr>
          <w:rFonts w:asciiTheme="minorEastAsia" w:hAnsiTheme="minorEastAsia"/>
          <w:sz w:val="28"/>
          <w:szCs w:val="28"/>
        </w:rPr>
        <w:br w:type="page"/>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r>
        <w:rPr>
          <w:rFonts w:hint="eastAsia"/>
        </w:rPr>
        <w:t xml:space="preserve"> </w:t>
      </w:r>
    </w:p>
    <w:p>
      <w:pPr>
        <w:pStyle w:val="2"/>
        <w:spacing w:line="360" w:lineRule="auto"/>
        <w:jc w:val="center"/>
        <w:rPr>
          <w:sz w:val="36"/>
          <w:szCs w:val="36"/>
        </w:rPr>
      </w:pPr>
      <w:bookmarkStart w:id="28" w:name="_Toc131671191"/>
      <w:r>
        <w:rPr>
          <w:rFonts w:hint="eastAsia"/>
          <w:sz w:val="36"/>
          <w:szCs w:val="36"/>
        </w:rPr>
        <w:t>第三部分  课程思政建设掠影</w:t>
      </w:r>
      <w:bookmarkEnd w:id="28"/>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widowControl/>
        <w:spacing w:line="360" w:lineRule="auto"/>
        <w:jc w:val="left"/>
      </w:pPr>
      <w:r>
        <w:br w:type="page"/>
      </w:r>
    </w:p>
    <w:p>
      <w:pPr>
        <w:spacing w:line="360" w:lineRule="auto"/>
        <w:rPr>
          <w:rFonts w:asciiTheme="minorEastAsia" w:hAnsiTheme="minorEastAsia"/>
          <w:color w:val="000000"/>
          <w:kern w:val="0"/>
          <w:sz w:val="28"/>
          <w:szCs w:val="28"/>
        </w:rPr>
      </w:pPr>
      <w:r>
        <w:rPr>
          <w:rFonts w:hint="eastAsia" w:asciiTheme="minorEastAsia" w:hAnsiTheme="minorEastAsia"/>
          <w:color w:val="000000"/>
          <w:kern w:val="0"/>
          <w:sz w:val="28"/>
          <w:szCs w:val="28"/>
        </w:rPr>
        <w:t>1.学校课程思政指导委员会会议（</w:t>
      </w:r>
      <w:r>
        <w:rPr>
          <w:rFonts w:asciiTheme="minorEastAsia" w:hAnsiTheme="minorEastAsia"/>
          <w:color w:val="000000"/>
          <w:kern w:val="0"/>
          <w:sz w:val="28"/>
          <w:szCs w:val="28"/>
        </w:rPr>
        <w:t>2019-04-28</w:t>
      </w:r>
      <w:r>
        <w:rPr>
          <w:rFonts w:hint="eastAsia" w:asciiTheme="minorEastAsia" w:hAnsiTheme="minorEastAsia"/>
          <w:color w:val="000000"/>
          <w:kern w:val="0"/>
          <w:sz w:val="28"/>
          <w:szCs w:val="28"/>
        </w:rPr>
        <w:t>）</w:t>
      </w:r>
    </w:p>
    <w:p>
      <w:pPr>
        <w:spacing w:line="360" w:lineRule="auto"/>
        <w:rPr>
          <w:rFonts w:asciiTheme="minorEastAsia" w:hAnsiTheme="minorEastAsia"/>
          <w:color w:val="000000"/>
          <w:kern w:val="0"/>
          <w:sz w:val="28"/>
          <w:szCs w:val="28"/>
        </w:rPr>
      </w:pPr>
      <w:r>
        <w:drawing>
          <wp:inline distT="0" distB="0" distL="0" distR="0">
            <wp:extent cx="5267960" cy="3838575"/>
            <wp:effectExtent l="0" t="0" r="2540"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1"/>
                    <a:stretch>
                      <a:fillRect/>
                    </a:stretch>
                  </pic:blipFill>
                  <pic:spPr>
                    <a:xfrm>
                      <a:off x="0" y="0"/>
                      <a:ext cx="5274310" cy="3838575"/>
                    </a:xfrm>
                    <a:prstGeom prst="rect">
                      <a:avLst/>
                    </a:prstGeom>
                  </pic:spPr>
                </pic:pic>
              </a:graphicData>
            </a:graphic>
          </wp:inline>
        </w:drawing>
      </w:r>
    </w:p>
    <w:p>
      <w:pPr>
        <w:spacing w:line="360" w:lineRule="auto"/>
        <w:rPr>
          <w:rFonts w:asciiTheme="minorEastAsia" w:hAnsiTheme="minorEastAsia"/>
          <w:color w:val="000000"/>
          <w:kern w:val="0"/>
          <w:sz w:val="28"/>
          <w:szCs w:val="28"/>
        </w:rPr>
      </w:pPr>
      <w:r>
        <w:drawing>
          <wp:inline distT="0" distB="0" distL="0" distR="0">
            <wp:extent cx="5274945" cy="3619500"/>
            <wp:effectExtent l="0" t="0" r="825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2"/>
                    <a:stretch>
                      <a:fillRect/>
                    </a:stretch>
                  </pic:blipFill>
                  <pic:spPr>
                    <a:xfrm>
                      <a:off x="0" y="0"/>
                      <a:ext cx="5274310" cy="3619500"/>
                    </a:xfrm>
                    <a:prstGeom prst="rect">
                      <a:avLst/>
                    </a:prstGeom>
                  </pic:spPr>
                </pic:pic>
              </a:graphicData>
            </a:graphic>
          </wp:inline>
        </w:drawing>
      </w:r>
    </w:p>
    <w:p>
      <w:pPr>
        <w:spacing w:line="360" w:lineRule="auto"/>
        <w:rPr>
          <w:rFonts w:asciiTheme="minorEastAsia" w:hAnsiTheme="minorEastAsia"/>
          <w:color w:val="000000"/>
          <w:kern w:val="0"/>
          <w:sz w:val="28"/>
          <w:szCs w:val="28"/>
        </w:rPr>
      </w:pPr>
    </w:p>
    <w:p>
      <w:pPr>
        <w:spacing w:line="360" w:lineRule="auto"/>
        <w:rPr>
          <w:rFonts w:asciiTheme="minorEastAsia" w:hAnsiTheme="minorEastAsia"/>
          <w:color w:val="000000"/>
          <w:kern w:val="0"/>
          <w:sz w:val="28"/>
          <w:szCs w:val="28"/>
        </w:rPr>
      </w:pPr>
    </w:p>
    <w:p>
      <w:pPr>
        <w:spacing w:line="360" w:lineRule="auto"/>
        <w:rPr>
          <w:rFonts w:asciiTheme="minorEastAsia" w:hAnsiTheme="minorEastAsia"/>
          <w:color w:val="000000"/>
          <w:kern w:val="0"/>
          <w:sz w:val="28"/>
          <w:szCs w:val="28"/>
        </w:rPr>
      </w:pPr>
      <w:r>
        <w:rPr>
          <w:rFonts w:hint="eastAsia" w:asciiTheme="minorEastAsia" w:hAnsiTheme="minorEastAsia"/>
          <w:color w:val="000000"/>
          <w:kern w:val="0"/>
          <w:sz w:val="28"/>
          <w:szCs w:val="28"/>
        </w:rPr>
        <w:t>2.学校课程思政教师培训暨第七期明德讲坛(</w:t>
      </w:r>
      <w:r>
        <w:rPr>
          <w:rFonts w:asciiTheme="minorEastAsia" w:hAnsiTheme="minorEastAsia"/>
          <w:color w:val="000000"/>
          <w:kern w:val="0"/>
          <w:sz w:val="28"/>
          <w:szCs w:val="28"/>
        </w:rPr>
        <w:t>2019-06-24</w:t>
      </w:r>
      <w:r>
        <w:rPr>
          <w:rFonts w:hint="eastAsia" w:asciiTheme="minorEastAsia" w:hAnsiTheme="minorEastAsia"/>
          <w:color w:val="000000"/>
          <w:kern w:val="0"/>
          <w:sz w:val="28"/>
          <w:szCs w:val="28"/>
        </w:rPr>
        <w:t>)</w:t>
      </w:r>
    </w:p>
    <w:p>
      <w:pPr>
        <w:spacing w:line="360" w:lineRule="auto"/>
        <w:rPr>
          <w:rFonts w:asciiTheme="minorEastAsia" w:hAnsiTheme="minorEastAsia"/>
          <w:color w:val="000000"/>
          <w:kern w:val="0"/>
          <w:sz w:val="28"/>
          <w:szCs w:val="28"/>
        </w:rPr>
      </w:pPr>
      <w:r>
        <w:drawing>
          <wp:inline distT="0" distB="0" distL="0" distR="0">
            <wp:extent cx="5269865" cy="3895725"/>
            <wp:effectExtent l="0" t="0" r="635" b="317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3"/>
                    <a:stretch>
                      <a:fillRect/>
                    </a:stretch>
                  </pic:blipFill>
                  <pic:spPr>
                    <a:xfrm>
                      <a:off x="0" y="0"/>
                      <a:ext cx="5274310" cy="3895725"/>
                    </a:xfrm>
                    <a:prstGeom prst="rect">
                      <a:avLst/>
                    </a:prstGeom>
                  </pic:spPr>
                </pic:pic>
              </a:graphicData>
            </a:graphic>
          </wp:inline>
        </w:drawing>
      </w:r>
    </w:p>
    <w:p>
      <w:pPr>
        <w:spacing w:line="360" w:lineRule="auto"/>
        <w:rPr>
          <w:rFonts w:asciiTheme="minorEastAsia" w:hAnsiTheme="minorEastAsia"/>
          <w:color w:val="000000"/>
          <w:kern w:val="0"/>
          <w:sz w:val="28"/>
          <w:szCs w:val="28"/>
        </w:rPr>
      </w:pPr>
      <w:r>
        <w:drawing>
          <wp:inline distT="0" distB="0" distL="0" distR="0">
            <wp:extent cx="5274310" cy="4283710"/>
            <wp:effectExtent l="0" t="0" r="8890" b="889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34"/>
                    <a:stretch>
                      <a:fillRect/>
                    </a:stretch>
                  </pic:blipFill>
                  <pic:spPr>
                    <a:xfrm>
                      <a:off x="0" y="0"/>
                      <a:ext cx="5274310" cy="4284156"/>
                    </a:xfrm>
                    <a:prstGeom prst="rect">
                      <a:avLst/>
                    </a:prstGeom>
                  </pic:spPr>
                </pic:pic>
              </a:graphicData>
            </a:graphic>
          </wp:inline>
        </w:drawing>
      </w:r>
    </w:p>
    <w:p>
      <w:pPr>
        <w:spacing w:line="360" w:lineRule="auto"/>
        <w:rPr>
          <w:rFonts w:asciiTheme="minorEastAsia" w:hAnsiTheme="minorEastAsia"/>
          <w:color w:val="000000"/>
          <w:kern w:val="0"/>
          <w:sz w:val="28"/>
          <w:szCs w:val="28"/>
        </w:rPr>
      </w:pPr>
      <w:r>
        <w:rPr>
          <w:rFonts w:hint="eastAsia" w:asciiTheme="minorEastAsia" w:hAnsiTheme="minorEastAsia"/>
          <w:color w:val="000000"/>
          <w:kern w:val="0"/>
          <w:sz w:val="28"/>
          <w:szCs w:val="28"/>
        </w:rPr>
        <w:t>3.学校课程思政建设推进会(</w:t>
      </w:r>
      <w:r>
        <w:rPr>
          <w:rFonts w:asciiTheme="minorEastAsia" w:hAnsiTheme="minorEastAsia"/>
          <w:color w:val="000000"/>
          <w:kern w:val="0"/>
          <w:sz w:val="28"/>
          <w:szCs w:val="28"/>
        </w:rPr>
        <w:t>2019-09-03</w:t>
      </w:r>
      <w:r>
        <w:rPr>
          <w:rFonts w:hint="eastAsia" w:asciiTheme="minorEastAsia" w:hAnsiTheme="minorEastAsia"/>
          <w:color w:val="000000"/>
          <w:kern w:val="0"/>
          <w:sz w:val="28"/>
          <w:szCs w:val="28"/>
        </w:rPr>
        <w:t>)</w:t>
      </w:r>
    </w:p>
    <w:p>
      <w:pPr>
        <w:spacing w:line="360" w:lineRule="auto"/>
        <w:rPr>
          <w:rFonts w:asciiTheme="minorEastAsia" w:hAnsiTheme="minorEastAsia"/>
          <w:color w:val="000000"/>
          <w:kern w:val="0"/>
          <w:sz w:val="28"/>
          <w:szCs w:val="28"/>
        </w:rPr>
      </w:pPr>
      <w:r>
        <w:drawing>
          <wp:inline distT="0" distB="0" distL="0" distR="0">
            <wp:extent cx="5274310" cy="3488055"/>
            <wp:effectExtent l="0" t="0" r="8890" b="444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35"/>
                    <a:stretch>
                      <a:fillRect/>
                    </a:stretch>
                  </pic:blipFill>
                  <pic:spPr>
                    <a:xfrm>
                      <a:off x="0" y="0"/>
                      <a:ext cx="5274310" cy="3488055"/>
                    </a:xfrm>
                    <a:prstGeom prst="rect">
                      <a:avLst/>
                    </a:prstGeom>
                  </pic:spPr>
                </pic:pic>
              </a:graphicData>
            </a:graphic>
          </wp:inline>
        </w:drawing>
      </w:r>
    </w:p>
    <w:p>
      <w:pPr>
        <w:spacing w:line="360" w:lineRule="auto"/>
        <w:rPr>
          <w:rFonts w:asciiTheme="minorEastAsia" w:hAnsiTheme="minorEastAsia"/>
          <w:color w:val="000000"/>
          <w:kern w:val="0"/>
          <w:sz w:val="28"/>
          <w:szCs w:val="28"/>
        </w:rPr>
      </w:pPr>
    </w:p>
    <w:p>
      <w:pPr>
        <w:spacing w:line="360" w:lineRule="auto"/>
        <w:rPr>
          <w:rFonts w:asciiTheme="minorEastAsia" w:hAnsiTheme="minorEastAsia"/>
          <w:color w:val="000000"/>
          <w:kern w:val="0"/>
          <w:sz w:val="28"/>
          <w:szCs w:val="28"/>
        </w:rPr>
      </w:pPr>
      <w:r>
        <w:rPr>
          <w:rFonts w:hint="eastAsia" w:asciiTheme="minorEastAsia" w:hAnsiTheme="minorEastAsia"/>
          <w:color w:val="000000"/>
          <w:kern w:val="0"/>
          <w:sz w:val="28"/>
          <w:szCs w:val="28"/>
        </w:rPr>
        <w:t>4.学校领导调研课程思政教育教学改革工作(</w:t>
      </w:r>
      <w:r>
        <w:rPr>
          <w:rFonts w:asciiTheme="minorEastAsia" w:hAnsiTheme="minorEastAsia"/>
          <w:color w:val="000000"/>
          <w:kern w:val="0"/>
          <w:sz w:val="28"/>
          <w:szCs w:val="28"/>
        </w:rPr>
        <w:t>2019-09-</w:t>
      </w:r>
      <w:r>
        <w:rPr>
          <w:rFonts w:hint="eastAsia" w:asciiTheme="minorEastAsia" w:hAnsiTheme="minorEastAsia"/>
          <w:color w:val="000000"/>
          <w:kern w:val="0"/>
          <w:sz w:val="28"/>
          <w:szCs w:val="28"/>
        </w:rPr>
        <w:t>24)</w:t>
      </w:r>
    </w:p>
    <w:p>
      <w:pPr>
        <w:spacing w:line="360" w:lineRule="auto"/>
        <w:rPr>
          <w:rFonts w:asciiTheme="minorEastAsia" w:hAnsiTheme="minorEastAsia"/>
          <w:color w:val="000000"/>
          <w:kern w:val="0"/>
          <w:sz w:val="28"/>
          <w:szCs w:val="28"/>
        </w:rPr>
      </w:pPr>
      <w:r>
        <w:drawing>
          <wp:inline distT="0" distB="0" distL="0" distR="0">
            <wp:extent cx="5274310" cy="3892550"/>
            <wp:effectExtent l="0" t="0" r="8890" b="635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36"/>
                    <a:stretch>
                      <a:fillRect/>
                    </a:stretch>
                  </pic:blipFill>
                  <pic:spPr>
                    <a:xfrm>
                      <a:off x="0" y="0"/>
                      <a:ext cx="5274310" cy="3892856"/>
                    </a:xfrm>
                    <a:prstGeom prst="rect">
                      <a:avLst/>
                    </a:prstGeom>
                  </pic:spPr>
                </pic:pic>
              </a:graphicData>
            </a:graphic>
          </wp:inline>
        </w:drawing>
      </w:r>
    </w:p>
    <w:p>
      <w:pPr>
        <w:spacing w:line="360" w:lineRule="auto"/>
        <w:rPr>
          <w:rFonts w:asciiTheme="minorEastAsia" w:hAnsiTheme="minorEastAsia"/>
          <w:color w:val="000000"/>
          <w:kern w:val="0"/>
          <w:sz w:val="28"/>
          <w:szCs w:val="28"/>
        </w:rPr>
      </w:pPr>
      <w:r>
        <w:rPr>
          <w:rFonts w:hint="eastAsia" w:asciiTheme="minorEastAsia" w:hAnsiTheme="minorEastAsia"/>
          <w:color w:val="000000"/>
          <w:kern w:val="0"/>
          <w:sz w:val="28"/>
          <w:szCs w:val="28"/>
        </w:rPr>
        <w:t>5.课程思政研究中心成立仪式暨上海高校课程思政整体改革创新论坛(</w:t>
      </w:r>
      <w:r>
        <w:rPr>
          <w:rFonts w:asciiTheme="minorEastAsia" w:hAnsiTheme="minorEastAsia"/>
          <w:color w:val="000000"/>
          <w:kern w:val="0"/>
          <w:sz w:val="28"/>
          <w:szCs w:val="28"/>
        </w:rPr>
        <w:t>2019-11-20</w:t>
      </w:r>
      <w:r>
        <w:rPr>
          <w:rFonts w:hint="eastAsia" w:asciiTheme="minorEastAsia" w:hAnsiTheme="minorEastAsia"/>
          <w:color w:val="000000"/>
          <w:kern w:val="0"/>
          <w:sz w:val="28"/>
          <w:szCs w:val="28"/>
        </w:rPr>
        <w:t>)</w:t>
      </w:r>
    </w:p>
    <w:p>
      <w:pPr>
        <w:spacing w:line="360" w:lineRule="auto"/>
        <w:rPr>
          <w:rFonts w:asciiTheme="minorEastAsia" w:hAnsiTheme="minorEastAsia"/>
          <w:color w:val="000000"/>
          <w:kern w:val="0"/>
          <w:sz w:val="28"/>
          <w:szCs w:val="28"/>
        </w:rPr>
      </w:pPr>
      <w:r>
        <w:drawing>
          <wp:inline distT="0" distB="0" distL="0" distR="0">
            <wp:extent cx="5276850" cy="3695700"/>
            <wp:effectExtent l="0" t="0" r="635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7"/>
                    <a:stretch>
                      <a:fillRect/>
                    </a:stretch>
                  </pic:blipFill>
                  <pic:spPr>
                    <a:xfrm>
                      <a:off x="0" y="0"/>
                      <a:ext cx="5274310" cy="3695700"/>
                    </a:xfrm>
                    <a:prstGeom prst="rect">
                      <a:avLst/>
                    </a:prstGeom>
                  </pic:spPr>
                </pic:pic>
              </a:graphicData>
            </a:graphic>
          </wp:inline>
        </w:drawing>
      </w:r>
    </w:p>
    <w:p>
      <w:pPr>
        <w:spacing w:line="360" w:lineRule="auto"/>
        <w:rPr>
          <w:rFonts w:asciiTheme="minorEastAsia" w:hAnsiTheme="minorEastAsia"/>
          <w:color w:val="000000"/>
          <w:kern w:val="0"/>
          <w:sz w:val="28"/>
          <w:szCs w:val="28"/>
        </w:rPr>
      </w:pPr>
      <w:r>
        <w:drawing>
          <wp:inline distT="0" distB="0" distL="0" distR="0">
            <wp:extent cx="5276215" cy="3790950"/>
            <wp:effectExtent l="0" t="0" r="6985" b="635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38"/>
                    <a:stretch>
                      <a:fillRect/>
                    </a:stretch>
                  </pic:blipFill>
                  <pic:spPr>
                    <a:xfrm>
                      <a:off x="0" y="0"/>
                      <a:ext cx="5274310" cy="3790950"/>
                    </a:xfrm>
                    <a:prstGeom prst="rect">
                      <a:avLst/>
                    </a:prstGeom>
                  </pic:spPr>
                </pic:pic>
              </a:graphicData>
            </a:graphic>
          </wp:inline>
        </w:drawing>
      </w:r>
    </w:p>
    <w:p>
      <w:pPr>
        <w:spacing w:line="360" w:lineRule="auto"/>
        <w:rPr>
          <w:rFonts w:asciiTheme="minorEastAsia" w:hAnsiTheme="minorEastAsia"/>
          <w:color w:val="000000"/>
          <w:kern w:val="0"/>
          <w:sz w:val="28"/>
          <w:szCs w:val="28"/>
        </w:rPr>
      </w:pPr>
    </w:p>
    <w:p>
      <w:pPr>
        <w:spacing w:line="360" w:lineRule="auto"/>
        <w:rPr>
          <w:rFonts w:asciiTheme="minorEastAsia" w:hAnsiTheme="minorEastAsia"/>
          <w:color w:val="000000"/>
          <w:kern w:val="0"/>
          <w:sz w:val="28"/>
          <w:szCs w:val="28"/>
        </w:rPr>
      </w:pPr>
      <w:r>
        <w:rPr>
          <w:rFonts w:hint="eastAsia" w:asciiTheme="minorEastAsia" w:hAnsiTheme="minorEastAsia"/>
          <w:color w:val="000000"/>
          <w:kern w:val="0"/>
          <w:sz w:val="28"/>
          <w:szCs w:val="28"/>
        </w:rPr>
        <w:t>6.学校课程思政整体改革建设推进会(</w:t>
      </w:r>
      <w:r>
        <w:rPr>
          <w:rFonts w:asciiTheme="minorEastAsia" w:hAnsiTheme="minorEastAsia"/>
          <w:color w:val="000000"/>
          <w:kern w:val="0"/>
          <w:sz w:val="28"/>
          <w:szCs w:val="28"/>
        </w:rPr>
        <w:t>2020-05-23</w:t>
      </w:r>
      <w:r>
        <w:rPr>
          <w:rFonts w:hint="eastAsia" w:asciiTheme="minorEastAsia" w:hAnsiTheme="minorEastAsia"/>
          <w:color w:val="000000"/>
          <w:kern w:val="0"/>
          <w:sz w:val="28"/>
          <w:szCs w:val="28"/>
        </w:rPr>
        <w:t>)</w:t>
      </w:r>
    </w:p>
    <w:p>
      <w:pPr>
        <w:spacing w:line="360" w:lineRule="auto"/>
        <w:rPr>
          <w:rFonts w:asciiTheme="minorEastAsia" w:hAnsiTheme="minorEastAsia"/>
          <w:color w:val="000000"/>
          <w:kern w:val="0"/>
          <w:sz w:val="28"/>
          <w:szCs w:val="28"/>
        </w:rPr>
      </w:pPr>
      <w:r>
        <w:drawing>
          <wp:inline distT="0" distB="0" distL="0" distR="0">
            <wp:extent cx="5274310" cy="3778885"/>
            <wp:effectExtent l="0" t="0" r="8890" b="571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39"/>
                    <a:stretch>
                      <a:fillRect/>
                    </a:stretch>
                  </pic:blipFill>
                  <pic:spPr>
                    <a:xfrm>
                      <a:off x="0" y="0"/>
                      <a:ext cx="5274310" cy="3779312"/>
                    </a:xfrm>
                    <a:prstGeom prst="rect">
                      <a:avLst/>
                    </a:prstGeom>
                  </pic:spPr>
                </pic:pic>
              </a:graphicData>
            </a:graphic>
          </wp:inline>
        </w:drawing>
      </w:r>
      <w:r>
        <w:drawing>
          <wp:inline distT="0" distB="0" distL="0" distR="0">
            <wp:extent cx="5274310" cy="3610610"/>
            <wp:effectExtent l="0" t="0" r="8890" b="889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40"/>
                    <a:stretch>
                      <a:fillRect/>
                    </a:stretch>
                  </pic:blipFill>
                  <pic:spPr>
                    <a:xfrm>
                      <a:off x="0" y="0"/>
                      <a:ext cx="5274310" cy="3610610"/>
                    </a:xfrm>
                    <a:prstGeom prst="rect">
                      <a:avLst/>
                    </a:prstGeom>
                  </pic:spPr>
                </pic:pic>
              </a:graphicData>
            </a:graphic>
          </wp:inline>
        </w:drawing>
      </w:r>
      <w:r>
        <w:drawing>
          <wp:inline distT="0" distB="0" distL="0" distR="0">
            <wp:extent cx="5274310" cy="3483610"/>
            <wp:effectExtent l="0" t="0" r="8890" b="889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41"/>
                    <a:stretch>
                      <a:fillRect/>
                    </a:stretch>
                  </pic:blipFill>
                  <pic:spPr>
                    <a:xfrm>
                      <a:off x="0" y="0"/>
                      <a:ext cx="5274310" cy="3483853"/>
                    </a:xfrm>
                    <a:prstGeom prst="rect">
                      <a:avLst/>
                    </a:prstGeom>
                  </pic:spPr>
                </pic:pic>
              </a:graphicData>
            </a:graphic>
          </wp:inline>
        </w:drawing>
      </w:r>
    </w:p>
    <w:p>
      <w:pPr>
        <w:spacing w:line="360" w:lineRule="auto"/>
        <w:rPr>
          <w:rFonts w:asciiTheme="minorEastAsia" w:hAnsiTheme="minorEastAsia"/>
          <w:color w:val="000000"/>
          <w:kern w:val="0"/>
          <w:sz w:val="28"/>
          <w:szCs w:val="28"/>
        </w:rPr>
      </w:pPr>
    </w:p>
    <w:p>
      <w:pPr>
        <w:spacing w:line="360" w:lineRule="auto"/>
        <w:rPr>
          <w:rFonts w:asciiTheme="minorEastAsia" w:hAnsiTheme="minorEastAsia"/>
          <w:color w:val="000000"/>
          <w:kern w:val="0"/>
          <w:sz w:val="28"/>
          <w:szCs w:val="28"/>
        </w:rPr>
      </w:pPr>
      <w:r>
        <w:rPr>
          <w:rFonts w:hint="eastAsia" w:asciiTheme="minorEastAsia" w:hAnsiTheme="minorEastAsia"/>
          <w:color w:val="000000"/>
          <w:kern w:val="0"/>
          <w:sz w:val="28"/>
          <w:szCs w:val="28"/>
        </w:rPr>
        <w:t>7.课程思政领航计划负责人及骨干教师培训开班仪式暨主题报告会(</w:t>
      </w:r>
      <w:r>
        <w:rPr>
          <w:rFonts w:asciiTheme="minorEastAsia" w:hAnsiTheme="minorEastAsia"/>
          <w:color w:val="000000"/>
          <w:kern w:val="0"/>
          <w:sz w:val="28"/>
          <w:szCs w:val="28"/>
        </w:rPr>
        <w:t>2020-06-25</w:t>
      </w:r>
      <w:r>
        <w:rPr>
          <w:rFonts w:hint="eastAsia" w:asciiTheme="minorEastAsia" w:hAnsiTheme="minorEastAsia"/>
          <w:color w:val="000000"/>
          <w:kern w:val="0"/>
          <w:sz w:val="28"/>
          <w:szCs w:val="28"/>
        </w:rPr>
        <w:t>)</w:t>
      </w:r>
    </w:p>
    <w:p>
      <w:pPr>
        <w:spacing w:line="360" w:lineRule="auto"/>
        <w:rPr>
          <w:rFonts w:asciiTheme="minorEastAsia" w:hAnsiTheme="minorEastAsia"/>
          <w:color w:val="000000"/>
          <w:kern w:val="0"/>
          <w:sz w:val="28"/>
          <w:szCs w:val="28"/>
        </w:rPr>
      </w:pPr>
      <w:r>
        <w:drawing>
          <wp:inline distT="0" distB="0" distL="0" distR="0">
            <wp:extent cx="5274310" cy="3456305"/>
            <wp:effectExtent l="0" t="0" r="8890" b="1079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42"/>
                    <a:stretch>
                      <a:fillRect/>
                    </a:stretch>
                  </pic:blipFill>
                  <pic:spPr>
                    <a:xfrm>
                      <a:off x="0" y="0"/>
                      <a:ext cx="5274310" cy="3456305"/>
                    </a:xfrm>
                    <a:prstGeom prst="rect">
                      <a:avLst/>
                    </a:prstGeom>
                  </pic:spPr>
                </pic:pic>
              </a:graphicData>
            </a:graphic>
          </wp:inline>
        </w:drawing>
      </w:r>
      <w:r>
        <w:drawing>
          <wp:inline distT="0" distB="0" distL="0" distR="0">
            <wp:extent cx="5275580" cy="3810000"/>
            <wp:effectExtent l="0" t="0" r="762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43"/>
                    <a:stretch>
                      <a:fillRect/>
                    </a:stretch>
                  </pic:blipFill>
                  <pic:spPr>
                    <a:xfrm>
                      <a:off x="0" y="0"/>
                      <a:ext cx="5274310" cy="3810000"/>
                    </a:xfrm>
                    <a:prstGeom prst="rect">
                      <a:avLst/>
                    </a:prstGeom>
                  </pic:spPr>
                </pic:pic>
              </a:graphicData>
            </a:graphic>
          </wp:inline>
        </w:drawing>
      </w:r>
      <w:r>
        <w:drawing>
          <wp:inline distT="0" distB="0" distL="0" distR="0">
            <wp:extent cx="5274945" cy="4200525"/>
            <wp:effectExtent l="0" t="0" r="8255" b="317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44"/>
                    <a:stretch>
                      <a:fillRect/>
                    </a:stretch>
                  </pic:blipFill>
                  <pic:spPr>
                    <a:xfrm>
                      <a:off x="0" y="0"/>
                      <a:ext cx="5274310" cy="4200525"/>
                    </a:xfrm>
                    <a:prstGeom prst="rect">
                      <a:avLst/>
                    </a:prstGeom>
                  </pic:spPr>
                </pic:pic>
              </a:graphicData>
            </a:graphic>
          </wp:inline>
        </w:drawing>
      </w:r>
    </w:p>
    <w:p>
      <w:pPr>
        <w:spacing w:line="360" w:lineRule="auto"/>
        <w:rPr>
          <w:rFonts w:asciiTheme="minorEastAsia" w:hAnsiTheme="minorEastAsia"/>
          <w:color w:val="000000"/>
          <w:kern w:val="0"/>
          <w:sz w:val="28"/>
          <w:szCs w:val="28"/>
        </w:rPr>
      </w:pPr>
    </w:p>
    <w:p>
      <w:pPr>
        <w:spacing w:line="360" w:lineRule="auto"/>
        <w:rPr>
          <w:rFonts w:asciiTheme="minorEastAsia" w:hAnsiTheme="minorEastAsia"/>
          <w:color w:val="000000"/>
          <w:kern w:val="0"/>
          <w:sz w:val="28"/>
          <w:szCs w:val="28"/>
        </w:rPr>
      </w:pPr>
      <w:r>
        <w:rPr>
          <w:rFonts w:hint="eastAsia" w:asciiTheme="minorEastAsia" w:hAnsiTheme="minorEastAsia"/>
          <w:color w:val="000000"/>
          <w:kern w:val="0"/>
          <w:sz w:val="28"/>
          <w:szCs w:val="28"/>
        </w:rPr>
        <w:t>8.课程思政领航学院（团队）建设研讨会(</w:t>
      </w:r>
      <w:r>
        <w:rPr>
          <w:rFonts w:asciiTheme="minorEastAsia" w:hAnsiTheme="minorEastAsia"/>
          <w:color w:val="000000"/>
          <w:kern w:val="0"/>
          <w:sz w:val="28"/>
          <w:szCs w:val="28"/>
        </w:rPr>
        <w:t>2020-07-03</w:t>
      </w:r>
      <w:r>
        <w:rPr>
          <w:rFonts w:hint="eastAsia" w:asciiTheme="minorEastAsia" w:hAnsiTheme="minorEastAsia"/>
          <w:color w:val="000000"/>
          <w:kern w:val="0"/>
          <w:sz w:val="28"/>
          <w:szCs w:val="28"/>
        </w:rPr>
        <w:t>)</w:t>
      </w:r>
    </w:p>
    <w:p>
      <w:pPr>
        <w:spacing w:line="360" w:lineRule="auto"/>
        <w:rPr>
          <w:rFonts w:asciiTheme="minorEastAsia" w:hAnsiTheme="minorEastAsia"/>
          <w:color w:val="000000"/>
          <w:kern w:val="0"/>
          <w:sz w:val="28"/>
          <w:szCs w:val="28"/>
        </w:rPr>
      </w:pPr>
      <w:r>
        <w:drawing>
          <wp:inline distT="0" distB="0" distL="0" distR="0">
            <wp:extent cx="5274310" cy="3657600"/>
            <wp:effectExtent l="0" t="0" r="889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5"/>
                    <a:stretch>
                      <a:fillRect/>
                    </a:stretch>
                  </pic:blipFill>
                  <pic:spPr>
                    <a:xfrm>
                      <a:off x="0" y="0"/>
                      <a:ext cx="5274310" cy="3657600"/>
                    </a:xfrm>
                    <a:prstGeom prst="rect">
                      <a:avLst/>
                    </a:prstGeom>
                  </pic:spPr>
                </pic:pic>
              </a:graphicData>
            </a:graphic>
          </wp:inline>
        </w:drawing>
      </w:r>
    </w:p>
    <w:p>
      <w:pPr>
        <w:spacing w:line="360" w:lineRule="auto"/>
        <w:rPr>
          <w:rFonts w:asciiTheme="minorEastAsia" w:hAnsiTheme="minorEastAsia"/>
          <w:color w:val="000000"/>
          <w:kern w:val="0"/>
          <w:sz w:val="28"/>
          <w:szCs w:val="28"/>
        </w:rPr>
      </w:pPr>
      <w:r>
        <w:drawing>
          <wp:inline distT="0" distB="0" distL="0" distR="0">
            <wp:extent cx="5276850" cy="3638550"/>
            <wp:effectExtent l="0" t="0" r="6350" b="635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46"/>
                    <a:stretch>
                      <a:fillRect/>
                    </a:stretch>
                  </pic:blipFill>
                  <pic:spPr>
                    <a:xfrm>
                      <a:off x="0" y="0"/>
                      <a:ext cx="5274310" cy="3638550"/>
                    </a:xfrm>
                    <a:prstGeom prst="rect">
                      <a:avLst/>
                    </a:prstGeom>
                  </pic:spPr>
                </pic:pic>
              </a:graphicData>
            </a:graphic>
          </wp:inline>
        </w:drawing>
      </w:r>
    </w:p>
    <w:p>
      <w:pPr>
        <w:spacing w:line="360" w:lineRule="auto"/>
        <w:rPr>
          <w:rFonts w:asciiTheme="minorEastAsia" w:hAnsiTheme="minorEastAsia"/>
          <w:color w:val="000000"/>
          <w:kern w:val="0"/>
          <w:sz w:val="28"/>
          <w:szCs w:val="28"/>
        </w:rPr>
      </w:pPr>
    </w:p>
    <w:p>
      <w:pPr>
        <w:spacing w:line="360" w:lineRule="auto"/>
        <w:rPr>
          <w:rFonts w:asciiTheme="minorEastAsia" w:hAnsiTheme="minorEastAsia"/>
          <w:color w:val="000000"/>
          <w:kern w:val="0"/>
          <w:sz w:val="28"/>
          <w:szCs w:val="28"/>
        </w:rPr>
      </w:pPr>
    </w:p>
    <w:p>
      <w:pPr>
        <w:spacing w:line="360" w:lineRule="auto"/>
        <w:rPr>
          <w:rFonts w:asciiTheme="minorEastAsia" w:hAnsiTheme="minorEastAsia"/>
          <w:color w:val="000000"/>
          <w:kern w:val="0"/>
          <w:sz w:val="28"/>
          <w:szCs w:val="28"/>
        </w:rPr>
      </w:pPr>
      <w:r>
        <w:rPr>
          <w:rFonts w:hint="eastAsia" w:asciiTheme="minorEastAsia" w:hAnsiTheme="minorEastAsia"/>
          <w:color w:val="000000"/>
          <w:kern w:val="0"/>
          <w:sz w:val="28"/>
          <w:szCs w:val="28"/>
        </w:rPr>
        <w:t>9.课程思政试点课程验收答辩暨示范交流展示会(</w:t>
      </w:r>
      <w:r>
        <w:rPr>
          <w:rFonts w:asciiTheme="minorEastAsia" w:hAnsiTheme="minorEastAsia"/>
          <w:color w:val="000000"/>
          <w:kern w:val="0"/>
          <w:sz w:val="28"/>
          <w:szCs w:val="28"/>
        </w:rPr>
        <w:t>2020-07-18</w:t>
      </w:r>
      <w:r>
        <w:rPr>
          <w:rFonts w:hint="eastAsia" w:asciiTheme="minorEastAsia" w:hAnsiTheme="minorEastAsia"/>
          <w:color w:val="000000"/>
          <w:kern w:val="0"/>
          <w:sz w:val="28"/>
          <w:szCs w:val="28"/>
        </w:rPr>
        <w:t>)</w:t>
      </w:r>
    </w:p>
    <w:p>
      <w:pPr>
        <w:spacing w:line="360" w:lineRule="auto"/>
        <w:rPr>
          <w:rFonts w:asciiTheme="minorEastAsia" w:hAnsiTheme="minorEastAsia"/>
          <w:color w:val="000000"/>
          <w:kern w:val="0"/>
          <w:sz w:val="28"/>
          <w:szCs w:val="28"/>
        </w:rPr>
      </w:pPr>
      <w:r>
        <w:drawing>
          <wp:inline distT="0" distB="0" distL="0" distR="0">
            <wp:extent cx="5274310" cy="3947795"/>
            <wp:effectExtent l="0" t="0" r="8890" b="190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47"/>
                    <a:stretch>
                      <a:fillRect/>
                    </a:stretch>
                  </pic:blipFill>
                  <pic:spPr>
                    <a:xfrm>
                      <a:off x="0" y="0"/>
                      <a:ext cx="5274310" cy="3947795"/>
                    </a:xfrm>
                    <a:prstGeom prst="rect">
                      <a:avLst/>
                    </a:prstGeom>
                  </pic:spPr>
                </pic:pic>
              </a:graphicData>
            </a:graphic>
          </wp:inline>
        </w:drawing>
      </w:r>
    </w:p>
    <w:p>
      <w:pPr>
        <w:spacing w:line="360" w:lineRule="auto"/>
        <w:rPr>
          <w:rFonts w:asciiTheme="minorEastAsia" w:hAnsiTheme="minorEastAsia"/>
          <w:color w:val="000000"/>
          <w:kern w:val="0"/>
          <w:sz w:val="28"/>
          <w:szCs w:val="28"/>
        </w:rPr>
      </w:pPr>
    </w:p>
    <w:p>
      <w:pPr>
        <w:spacing w:line="360" w:lineRule="auto"/>
        <w:rPr>
          <w:rFonts w:asciiTheme="minorEastAsia" w:hAnsiTheme="minorEastAsia"/>
          <w:color w:val="000000"/>
          <w:kern w:val="0"/>
          <w:sz w:val="28"/>
          <w:szCs w:val="28"/>
        </w:rPr>
      </w:pPr>
      <w:r>
        <w:rPr>
          <w:rFonts w:hint="eastAsia" w:asciiTheme="minorEastAsia" w:hAnsiTheme="minorEastAsia"/>
          <w:color w:val="000000"/>
          <w:kern w:val="0"/>
          <w:sz w:val="28"/>
          <w:szCs w:val="28"/>
        </w:rPr>
        <w:t>10.上海高校课程思政建设研讨会我校分论坛(</w:t>
      </w:r>
      <w:r>
        <w:rPr>
          <w:rFonts w:asciiTheme="minorEastAsia" w:hAnsiTheme="minorEastAsia"/>
          <w:color w:val="000000"/>
          <w:kern w:val="0"/>
          <w:sz w:val="28"/>
          <w:szCs w:val="28"/>
        </w:rPr>
        <w:t>2020-08-03</w:t>
      </w:r>
      <w:r>
        <w:rPr>
          <w:rFonts w:hint="eastAsia" w:asciiTheme="minorEastAsia" w:hAnsiTheme="minorEastAsia"/>
          <w:color w:val="000000"/>
          <w:kern w:val="0"/>
          <w:sz w:val="28"/>
          <w:szCs w:val="28"/>
        </w:rPr>
        <w:t>)</w:t>
      </w:r>
    </w:p>
    <w:p>
      <w:pPr>
        <w:spacing w:line="360" w:lineRule="auto"/>
        <w:rPr>
          <w:rFonts w:asciiTheme="minorEastAsia" w:hAnsiTheme="minorEastAsia"/>
          <w:color w:val="000000"/>
          <w:kern w:val="0"/>
          <w:sz w:val="28"/>
          <w:szCs w:val="28"/>
        </w:rPr>
      </w:pPr>
      <w:r>
        <w:drawing>
          <wp:inline distT="0" distB="0" distL="0" distR="0">
            <wp:extent cx="5276850" cy="3343275"/>
            <wp:effectExtent l="0" t="0" r="6350" b="952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48"/>
                    <a:stretch>
                      <a:fillRect/>
                    </a:stretch>
                  </pic:blipFill>
                  <pic:spPr>
                    <a:xfrm>
                      <a:off x="0" y="0"/>
                      <a:ext cx="5274310" cy="3343275"/>
                    </a:xfrm>
                    <a:prstGeom prst="rect">
                      <a:avLst/>
                    </a:prstGeom>
                  </pic:spPr>
                </pic:pic>
              </a:graphicData>
            </a:graphic>
          </wp:inline>
        </w:drawing>
      </w:r>
    </w:p>
    <w:p>
      <w:pPr>
        <w:spacing w:line="360" w:lineRule="auto"/>
        <w:rPr>
          <w:rFonts w:asciiTheme="minorEastAsia" w:hAnsiTheme="minorEastAsia"/>
          <w:color w:val="000000"/>
          <w:kern w:val="0"/>
          <w:sz w:val="28"/>
          <w:szCs w:val="28"/>
        </w:rPr>
      </w:pPr>
    </w:p>
    <w:p>
      <w:pPr>
        <w:spacing w:line="360" w:lineRule="auto"/>
        <w:rPr>
          <w:rFonts w:asciiTheme="minorEastAsia" w:hAnsiTheme="minorEastAsia"/>
          <w:color w:val="000000"/>
          <w:kern w:val="0"/>
          <w:sz w:val="28"/>
          <w:szCs w:val="28"/>
        </w:rPr>
      </w:pPr>
      <w:r>
        <w:rPr>
          <w:rFonts w:hint="eastAsia" w:asciiTheme="minorEastAsia" w:hAnsiTheme="minorEastAsia"/>
          <w:color w:val="000000"/>
          <w:kern w:val="0"/>
          <w:sz w:val="28"/>
          <w:szCs w:val="28"/>
        </w:rPr>
        <w:t>11.校党委书记</w:t>
      </w:r>
      <w:r>
        <w:rPr>
          <w:rFonts w:asciiTheme="minorEastAsia" w:hAnsiTheme="minorEastAsia"/>
          <w:color w:val="000000"/>
          <w:kern w:val="0"/>
          <w:sz w:val="28"/>
          <w:szCs w:val="28"/>
        </w:rPr>
        <w:t>郭庆松参加2020年上海高校课程思政教育教学改革工作推进会并作交流发言</w:t>
      </w:r>
      <w:r>
        <w:rPr>
          <w:rFonts w:hint="eastAsia" w:asciiTheme="minorEastAsia" w:hAnsiTheme="minorEastAsia"/>
          <w:color w:val="000000"/>
          <w:kern w:val="0"/>
          <w:sz w:val="28"/>
          <w:szCs w:val="28"/>
        </w:rPr>
        <w:t>(</w:t>
      </w:r>
      <w:r>
        <w:rPr>
          <w:rFonts w:asciiTheme="minorEastAsia" w:hAnsiTheme="minorEastAsia"/>
          <w:color w:val="000000"/>
          <w:kern w:val="0"/>
          <w:sz w:val="28"/>
          <w:szCs w:val="28"/>
        </w:rPr>
        <w:t>2020-0</w:t>
      </w:r>
      <w:r>
        <w:rPr>
          <w:rFonts w:hint="eastAsia" w:asciiTheme="minorEastAsia" w:hAnsiTheme="minorEastAsia"/>
          <w:color w:val="000000"/>
          <w:kern w:val="0"/>
          <w:sz w:val="28"/>
          <w:szCs w:val="28"/>
        </w:rPr>
        <w:t>9</w:t>
      </w:r>
      <w:r>
        <w:rPr>
          <w:rFonts w:asciiTheme="minorEastAsia" w:hAnsiTheme="minorEastAsia"/>
          <w:color w:val="000000"/>
          <w:kern w:val="0"/>
          <w:sz w:val="28"/>
          <w:szCs w:val="28"/>
        </w:rPr>
        <w:t>-</w:t>
      </w:r>
      <w:r>
        <w:rPr>
          <w:rFonts w:hint="eastAsia" w:asciiTheme="minorEastAsia" w:hAnsiTheme="minorEastAsia"/>
          <w:color w:val="000000"/>
          <w:kern w:val="0"/>
          <w:sz w:val="28"/>
          <w:szCs w:val="28"/>
        </w:rPr>
        <w:t>17)</w:t>
      </w:r>
    </w:p>
    <w:p>
      <w:pPr>
        <w:widowControl/>
        <w:spacing w:line="360" w:lineRule="auto"/>
        <w:jc w:val="left"/>
        <w:rPr>
          <w:rFonts w:ascii="仿宋" w:hAnsi="仿宋" w:eastAsia="仿宋"/>
          <w:sz w:val="28"/>
          <w:szCs w:val="28"/>
        </w:rPr>
      </w:pPr>
      <w:r>
        <w:drawing>
          <wp:inline distT="0" distB="0" distL="0" distR="0">
            <wp:extent cx="5276850" cy="3600450"/>
            <wp:effectExtent l="0" t="0" r="6350" b="6350"/>
            <wp:docPr id="4" name="图片 4" descr="https://www.sit.edu.cn/_upload/article/images/38/99/a94a2f6744c6a76a2af13a2dfd70/d738b825-2a0a-4d3e-8fed-aafb36d269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s://www.sit.edu.cn/_upload/article/images/38/99/a94a2f6744c6a76a2af13a2dfd70/d738b825-2a0a-4d3e-8fed-aafb36d2696c.jpg"/>
                    <pic:cNvPicPr>
                      <a:picLocks noChangeAspect="1" noChangeArrowheads="1"/>
                    </pic:cNvPicPr>
                  </pic:nvPicPr>
                  <pic:blipFill>
                    <a:blip r:embed="rId49"/>
                    <a:srcRect/>
                    <a:stretch>
                      <a:fillRect/>
                    </a:stretch>
                  </pic:blipFill>
                  <pic:spPr>
                    <a:xfrm>
                      <a:off x="0" y="0"/>
                      <a:ext cx="5276850" cy="3600450"/>
                    </a:xfrm>
                    <a:prstGeom prst="rect">
                      <a:avLst/>
                    </a:prstGeom>
                    <a:noFill/>
                    <a:ln>
                      <a:noFill/>
                    </a:ln>
                  </pic:spPr>
                </pic:pic>
              </a:graphicData>
            </a:graphic>
          </wp:inline>
        </w:drawing>
      </w:r>
    </w:p>
    <w:p>
      <w:pPr>
        <w:widowControl/>
        <w:spacing w:line="360" w:lineRule="auto"/>
        <w:jc w:val="left"/>
        <w:rPr>
          <w:rFonts w:ascii="仿宋" w:hAnsi="仿宋" w:eastAsia="仿宋"/>
          <w:sz w:val="28"/>
          <w:szCs w:val="28"/>
        </w:rPr>
      </w:pPr>
      <w:r>
        <w:drawing>
          <wp:inline distT="0" distB="0" distL="0" distR="0">
            <wp:extent cx="5276850" cy="3629025"/>
            <wp:effectExtent l="0" t="0" r="6350" b="3175"/>
            <wp:docPr id="7" name="图片 7" descr="https://www.sit.edu.cn/_upload/article/images/38/99/a94a2f6744c6a76a2af13a2dfd70/6a7d639f-478e-4112-a362-276f3e6d2f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s://www.sit.edu.cn/_upload/article/images/38/99/a94a2f6744c6a76a2af13a2dfd70/6a7d639f-478e-4112-a362-276f3e6d2f25.jpg"/>
                    <pic:cNvPicPr>
                      <a:picLocks noChangeAspect="1" noChangeArrowheads="1"/>
                    </pic:cNvPicPr>
                  </pic:nvPicPr>
                  <pic:blipFill>
                    <a:blip r:embed="rId50"/>
                    <a:srcRect/>
                    <a:stretch>
                      <a:fillRect/>
                    </a:stretch>
                  </pic:blipFill>
                  <pic:spPr>
                    <a:xfrm>
                      <a:off x="0" y="0"/>
                      <a:ext cx="5276850" cy="3629025"/>
                    </a:xfrm>
                    <a:prstGeom prst="rect">
                      <a:avLst/>
                    </a:prstGeom>
                    <a:noFill/>
                    <a:ln>
                      <a:noFill/>
                    </a:ln>
                  </pic:spPr>
                </pic:pic>
              </a:graphicData>
            </a:graphic>
          </wp:inline>
        </w:drawing>
      </w:r>
    </w:p>
    <w:p>
      <w:pPr>
        <w:widowControl/>
        <w:spacing w:line="360" w:lineRule="auto"/>
        <w:jc w:val="left"/>
        <w:rPr>
          <w:rFonts w:ascii="仿宋" w:hAnsi="仿宋" w:eastAsia="仿宋"/>
          <w:sz w:val="28"/>
          <w:szCs w:val="28"/>
        </w:rPr>
      </w:pPr>
    </w:p>
    <w:p>
      <w:pPr>
        <w:spacing w:line="360" w:lineRule="auto"/>
        <w:rPr>
          <w:rFonts w:asciiTheme="minorEastAsia" w:hAnsiTheme="minorEastAsia"/>
          <w:color w:val="000000"/>
          <w:kern w:val="0"/>
          <w:sz w:val="28"/>
          <w:szCs w:val="28"/>
        </w:rPr>
      </w:pPr>
      <w:r>
        <w:rPr>
          <w:rFonts w:hint="eastAsia" w:asciiTheme="minorEastAsia" w:hAnsiTheme="minorEastAsia"/>
          <w:color w:val="000000"/>
          <w:kern w:val="0"/>
          <w:sz w:val="28"/>
          <w:szCs w:val="28"/>
        </w:rPr>
        <w:t>12.教师沙龙暨课程思政领航计划骨干教师培训报告会(</w:t>
      </w:r>
      <w:r>
        <w:rPr>
          <w:rFonts w:asciiTheme="minorEastAsia" w:hAnsiTheme="minorEastAsia"/>
          <w:color w:val="000000"/>
          <w:kern w:val="0"/>
          <w:sz w:val="28"/>
          <w:szCs w:val="28"/>
        </w:rPr>
        <w:t>2020-0</w:t>
      </w:r>
      <w:r>
        <w:rPr>
          <w:rFonts w:hint="eastAsia" w:asciiTheme="minorEastAsia" w:hAnsiTheme="minorEastAsia"/>
          <w:color w:val="000000"/>
          <w:kern w:val="0"/>
          <w:sz w:val="28"/>
          <w:szCs w:val="28"/>
        </w:rPr>
        <w:t>9</w:t>
      </w:r>
      <w:r>
        <w:rPr>
          <w:rFonts w:asciiTheme="minorEastAsia" w:hAnsiTheme="minorEastAsia"/>
          <w:color w:val="000000"/>
          <w:kern w:val="0"/>
          <w:sz w:val="28"/>
          <w:szCs w:val="28"/>
        </w:rPr>
        <w:t>-</w:t>
      </w:r>
      <w:r>
        <w:rPr>
          <w:rFonts w:hint="eastAsia" w:asciiTheme="minorEastAsia" w:hAnsiTheme="minorEastAsia"/>
          <w:color w:val="000000"/>
          <w:kern w:val="0"/>
          <w:sz w:val="28"/>
          <w:szCs w:val="28"/>
        </w:rPr>
        <w:t>24)</w:t>
      </w:r>
    </w:p>
    <w:p>
      <w:pPr>
        <w:widowControl/>
        <w:spacing w:line="360" w:lineRule="auto"/>
        <w:jc w:val="left"/>
        <w:rPr>
          <w:rFonts w:ascii="仿宋" w:hAnsi="仿宋" w:eastAsia="仿宋"/>
          <w:sz w:val="28"/>
          <w:szCs w:val="28"/>
        </w:rPr>
      </w:pPr>
      <w:r>
        <w:drawing>
          <wp:inline distT="0" distB="0" distL="0" distR="0">
            <wp:extent cx="5271770" cy="3829050"/>
            <wp:effectExtent l="0" t="0" r="11430" b="635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51"/>
                    <a:stretch>
                      <a:fillRect/>
                    </a:stretch>
                  </pic:blipFill>
                  <pic:spPr>
                    <a:xfrm>
                      <a:off x="0" y="0"/>
                      <a:ext cx="5274310" cy="3829050"/>
                    </a:xfrm>
                    <a:prstGeom prst="rect">
                      <a:avLst/>
                    </a:prstGeom>
                  </pic:spPr>
                </pic:pic>
              </a:graphicData>
            </a:graphic>
          </wp:inline>
        </w:drawing>
      </w:r>
    </w:p>
    <w:p>
      <w:pPr>
        <w:spacing w:line="360" w:lineRule="auto"/>
        <w:rPr>
          <w:rFonts w:asciiTheme="minorEastAsia" w:hAnsiTheme="minorEastAsia"/>
          <w:color w:val="000000"/>
          <w:kern w:val="0"/>
          <w:sz w:val="28"/>
          <w:szCs w:val="28"/>
        </w:rPr>
      </w:pPr>
      <w:r>
        <w:drawing>
          <wp:inline distT="0" distB="0" distL="0" distR="0">
            <wp:extent cx="5276850" cy="3714750"/>
            <wp:effectExtent l="0" t="0" r="6350" b="635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52"/>
                    <a:stretch>
                      <a:fillRect/>
                    </a:stretch>
                  </pic:blipFill>
                  <pic:spPr>
                    <a:xfrm>
                      <a:off x="0" y="0"/>
                      <a:ext cx="5274310" cy="3714750"/>
                    </a:xfrm>
                    <a:prstGeom prst="rect">
                      <a:avLst/>
                    </a:prstGeom>
                  </pic:spPr>
                </pic:pic>
              </a:graphicData>
            </a:graphic>
          </wp:inline>
        </w:drawing>
      </w:r>
    </w:p>
    <w:p>
      <w:pPr>
        <w:spacing w:line="360" w:lineRule="auto"/>
        <w:rPr>
          <w:rFonts w:asciiTheme="minorEastAsia" w:hAnsiTheme="minorEastAsia"/>
          <w:color w:val="000000"/>
          <w:kern w:val="0"/>
          <w:sz w:val="28"/>
          <w:szCs w:val="28"/>
        </w:rPr>
      </w:pPr>
    </w:p>
    <w:p>
      <w:pPr>
        <w:spacing w:line="360" w:lineRule="auto"/>
        <w:rPr>
          <w:rFonts w:asciiTheme="minorEastAsia" w:hAnsiTheme="minorEastAsia"/>
          <w:color w:val="000000"/>
          <w:kern w:val="0"/>
          <w:sz w:val="28"/>
          <w:szCs w:val="28"/>
        </w:rPr>
      </w:pPr>
    </w:p>
    <w:p>
      <w:pPr>
        <w:spacing w:line="360" w:lineRule="auto"/>
        <w:rPr>
          <w:rFonts w:asciiTheme="minorEastAsia" w:hAnsiTheme="minorEastAsia"/>
          <w:color w:val="000000"/>
          <w:kern w:val="0"/>
          <w:sz w:val="28"/>
          <w:szCs w:val="28"/>
        </w:rPr>
      </w:pPr>
      <w:r>
        <w:rPr>
          <w:rFonts w:hint="eastAsia" w:asciiTheme="minorEastAsia" w:hAnsiTheme="minorEastAsia"/>
          <w:color w:val="000000"/>
          <w:kern w:val="0"/>
          <w:sz w:val="28"/>
          <w:szCs w:val="28"/>
        </w:rPr>
        <w:t>13.“明德讲坛”暨课程思政领航计划负责人及骨干教师培训班成果交流会(</w:t>
      </w:r>
      <w:r>
        <w:rPr>
          <w:rFonts w:asciiTheme="minorEastAsia" w:hAnsiTheme="minorEastAsia"/>
          <w:color w:val="000000"/>
          <w:kern w:val="0"/>
          <w:sz w:val="28"/>
          <w:szCs w:val="28"/>
        </w:rPr>
        <w:t>2020-11-11</w:t>
      </w:r>
      <w:r>
        <w:rPr>
          <w:rFonts w:hint="eastAsia" w:asciiTheme="minorEastAsia" w:hAnsiTheme="minorEastAsia"/>
          <w:color w:val="000000"/>
          <w:kern w:val="0"/>
          <w:sz w:val="28"/>
          <w:szCs w:val="28"/>
        </w:rPr>
        <w:t>)</w:t>
      </w:r>
    </w:p>
    <w:p>
      <w:pPr>
        <w:spacing w:line="360" w:lineRule="auto"/>
        <w:rPr>
          <w:rFonts w:asciiTheme="minorEastAsia" w:hAnsiTheme="minorEastAsia"/>
          <w:color w:val="000000"/>
          <w:kern w:val="0"/>
          <w:sz w:val="28"/>
          <w:szCs w:val="28"/>
        </w:rPr>
      </w:pPr>
      <w:r>
        <w:drawing>
          <wp:inline distT="0" distB="0" distL="0" distR="0">
            <wp:extent cx="5275580" cy="3657600"/>
            <wp:effectExtent l="0" t="0" r="762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53"/>
                    <a:stretch>
                      <a:fillRect/>
                    </a:stretch>
                  </pic:blipFill>
                  <pic:spPr>
                    <a:xfrm>
                      <a:off x="0" y="0"/>
                      <a:ext cx="5274310" cy="3657600"/>
                    </a:xfrm>
                    <a:prstGeom prst="rect">
                      <a:avLst/>
                    </a:prstGeom>
                  </pic:spPr>
                </pic:pic>
              </a:graphicData>
            </a:graphic>
          </wp:inline>
        </w:drawing>
      </w:r>
    </w:p>
    <w:p>
      <w:pPr>
        <w:spacing w:line="360" w:lineRule="auto"/>
        <w:rPr>
          <w:rFonts w:asciiTheme="minorEastAsia" w:hAnsiTheme="minorEastAsia"/>
          <w:color w:val="000000"/>
          <w:kern w:val="0"/>
          <w:sz w:val="28"/>
          <w:szCs w:val="28"/>
        </w:rPr>
      </w:pPr>
      <w:r>
        <w:drawing>
          <wp:inline distT="0" distB="0" distL="0" distR="0">
            <wp:extent cx="5273675" cy="3743325"/>
            <wp:effectExtent l="0" t="0" r="9525" b="317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54"/>
                    <a:stretch>
                      <a:fillRect/>
                    </a:stretch>
                  </pic:blipFill>
                  <pic:spPr>
                    <a:xfrm>
                      <a:off x="0" y="0"/>
                      <a:ext cx="5274310" cy="3743325"/>
                    </a:xfrm>
                    <a:prstGeom prst="rect">
                      <a:avLst/>
                    </a:prstGeom>
                  </pic:spPr>
                </pic:pic>
              </a:graphicData>
            </a:graphic>
          </wp:inline>
        </w:drawing>
      </w:r>
      <w:r>
        <w:drawing>
          <wp:inline distT="0" distB="0" distL="0" distR="0">
            <wp:extent cx="5276850" cy="4076700"/>
            <wp:effectExtent l="0" t="0" r="635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55"/>
                    <a:stretch>
                      <a:fillRect/>
                    </a:stretch>
                  </pic:blipFill>
                  <pic:spPr>
                    <a:xfrm>
                      <a:off x="0" y="0"/>
                      <a:ext cx="5274310" cy="4076700"/>
                    </a:xfrm>
                    <a:prstGeom prst="rect">
                      <a:avLst/>
                    </a:prstGeom>
                  </pic:spPr>
                </pic:pic>
              </a:graphicData>
            </a:graphic>
          </wp:inline>
        </w:drawing>
      </w:r>
    </w:p>
    <w:p>
      <w:pPr>
        <w:spacing w:line="360" w:lineRule="auto"/>
        <w:rPr>
          <w:rFonts w:asciiTheme="minorEastAsia" w:hAnsiTheme="minorEastAsia"/>
          <w:b/>
          <w:color w:val="000000"/>
          <w:kern w:val="0"/>
          <w:sz w:val="28"/>
          <w:szCs w:val="28"/>
        </w:rPr>
      </w:pPr>
      <w:r>
        <w:drawing>
          <wp:inline distT="0" distB="0" distL="0" distR="0">
            <wp:extent cx="5267325" cy="4000500"/>
            <wp:effectExtent l="0" t="0" r="317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56"/>
                    <a:stretch>
                      <a:fillRect/>
                    </a:stretch>
                  </pic:blipFill>
                  <pic:spPr>
                    <a:xfrm>
                      <a:off x="0" y="0"/>
                      <a:ext cx="5274310" cy="4000500"/>
                    </a:xfrm>
                    <a:prstGeom prst="rect">
                      <a:avLst/>
                    </a:prstGeom>
                  </pic:spPr>
                </pic:pic>
              </a:graphicData>
            </a:graphic>
          </wp:inline>
        </w:drawing>
      </w:r>
    </w:p>
    <w:p>
      <w:pPr>
        <w:spacing w:line="360" w:lineRule="auto"/>
        <w:rPr>
          <w:rFonts w:asciiTheme="minorEastAsia" w:hAnsiTheme="minorEastAsia"/>
          <w:b/>
          <w:color w:val="000000"/>
          <w:kern w:val="0"/>
          <w:sz w:val="28"/>
          <w:szCs w:val="28"/>
        </w:rPr>
      </w:pPr>
    </w:p>
    <w:p>
      <w:pPr>
        <w:spacing w:line="360" w:lineRule="auto"/>
        <w:rPr>
          <w:rFonts w:asciiTheme="minorEastAsia" w:hAnsiTheme="minorEastAsia"/>
          <w:color w:val="000000"/>
          <w:kern w:val="0"/>
          <w:sz w:val="28"/>
          <w:szCs w:val="28"/>
        </w:rPr>
      </w:pPr>
      <w:r>
        <w:rPr>
          <w:rFonts w:hint="eastAsia" w:asciiTheme="minorEastAsia" w:hAnsiTheme="minorEastAsia"/>
          <w:color w:val="000000"/>
          <w:kern w:val="0"/>
          <w:sz w:val="28"/>
          <w:szCs w:val="28"/>
        </w:rPr>
        <w:t>14.党史融入课程思政 建好上应鲜活“金课”：学校举办课程思政建设成果汇报交流会（</w:t>
      </w:r>
      <w:r>
        <w:rPr>
          <w:rFonts w:asciiTheme="minorEastAsia" w:hAnsiTheme="minorEastAsia"/>
          <w:color w:val="000000"/>
          <w:kern w:val="0"/>
          <w:sz w:val="28"/>
          <w:szCs w:val="28"/>
        </w:rPr>
        <w:t>2021-05-14</w:t>
      </w:r>
      <w:r>
        <w:rPr>
          <w:rFonts w:hint="eastAsia" w:asciiTheme="minorEastAsia" w:hAnsiTheme="minorEastAsia"/>
          <w:color w:val="000000"/>
          <w:kern w:val="0"/>
          <w:sz w:val="28"/>
          <w:szCs w:val="28"/>
        </w:rPr>
        <w:t>）</w:t>
      </w:r>
    </w:p>
    <w:p>
      <w:pPr>
        <w:widowControl/>
        <w:spacing w:line="360" w:lineRule="auto"/>
        <w:jc w:val="left"/>
        <w:rPr>
          <w:rFonts w:ascii="仿宋" w:hAnsi="仿宋" w:eastAsia="仿宋"/>
          <w:sz w:val="28"/>
          <w:szCs w:val="28"/>
        </w:rPr>
      </w:pPr>
      <w:r>
        <w:drawing>
          <wp:inline distT="0" distB="0" distL="0" distR="0">
            <wp:extent cx="5229225" cy="3333750"/>
            <wp:effectExtent l="0" t="0" r="3175"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57"/>
                    <a:stretch>
                      <a:fillRect/>
                    </a:stretch>
                  </pic:blipFill>
                  <pic:spPr>
                    <a:xfrm>
                      <a:off x="0" y="0"/>
                      <a:ext cx="5229225" cy="3333750"/>
                    </a:xfrm>
                    <a:prstGeom prst="rect">
                      <a:avLst/>
                    </a:prstGeom>
                  </pic:spPr>
                </pic:pic>
              </a:graphicData>
            </a:graphic>
          </wp:inline>
        </w:drawing>
      </w:r>
    </w:p>
    <w:p>
      <w:pPr>
        <w:widowControl/>
        <w:spacing w:line="360" w:lineRule="auto"/>
        <w:jc w:val="left"/>
        <w:rPr>
          <w:rFonts w:ascii="仿宋" w:hAnsi="仿宋" w:eastAsia="仿宋"/>
          <w:sz w:val="28"/>
          <w:szCs w:val="28"/>
        </w:rPr>
      </w:pPr>
      <w:r>
        <w:drawing>
          <wp:inline distT="0" distB="0" distL="0" distR="0">
            <wp:extent cx="5229225" cy="3943350"/>
            <wp:effectExtent l="0" t="0" r="3175"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8"/>
                    <a:stretch>
                      <a:fillRect/>
                    </a:stretch>
                  </pic:blipFill>
                  <pic:spPr>
                    <a:xfrm>
                      <a:off x="0" y="0"/>
                      <a:ext cx="5229225" cy="3943350"/>
                    </a:xfrm>
                    <a:prstGeom prst="rect">
                      <a:avLst/>
                    </a:prstGeom>
                  </pic:spPr>
                </pic:pic>
              </a:graphicData>
            </a:graphic>
          </wp:inline>
        </w:drawing>
      </w:r>
    </w:p>
    <w:p>
      <w:pPr>
        <w:widowControl/>
        <w:spacing w:line="360" w:lineRule="auto"/>
        <w:jc w:val="left"/>
        <w:rPr>
          <w:rFonts w:ascii="仿宋" w:hAnsi="仿宋" w:eastAsia="仿宋"/>
          <w:sz w:val="28"/>
          <w:szCs w:val="28"/>
        </w:rPr>
      </w:pPr>
    </w:p>
    <w:p>
      <w:pPr>
        <w:widowControl/>
        <w:spacing w:line="360" w:lineRule="auto"/>
        <w:jc w:val="left"/>
        <w:rPr>
          <w:rFonts w:ascii="仿宋" w:hAnsi="仿宋" w:eastAsia="仿宋"/>
          <w:sz w:val="28"/>
          <w:szCs w:val="28"/>
        </w:rPr>
      </w:pPr>
      <w:r>
        <w:drawing>
          <wp:inline distT="0" distB="0" distL="0" distR="0">
            <wp:extent cx="5273675" cy="3790950"/>
            <wp:effectExtent l="0" t="0" r="9525"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9"/>
                    <a:stretch>
                      <a:fillRect/>
                    </a:stretch>
                  </pic:blipFill>
                  <pic:spPr>
                    <a:xfrm>
                      <a:off x="0" y="0"/>
                      <a:ext cx="5274310" cy="3790950"/>
                    </a:xfrm>
                    <a:prstGeom prst="rect">
                      <a:avLst/>
                    </a:prstGeom>
                  </pic:spPr>
                </pic:pic>
              </a:graphicData>
            </a:graphic>
          </wp:inline>
        </w:drawing>
      </w:r>
    </w:p>
    <w:p>
      <w:pPr>
        <w:widowControl/>
        <w:spacing w:line="360" w:lineRule="auto"/>
        <w:jc w:val="left"/>
        <w:rPr>
          <w:rFonts w:ascii="仿宋" w:hAnsi="仿宋" w:eastAsia="仿宋"/>
          <w:sz w:val="28"/>
          <w:szCs w:val="28"/>
        </w:rPr>
      </w:pPr>
    </w:p>
    <w:p>
      <w:pPr>
        <w:widowControl/>
        <w:spacing w:line="360" w:lineRule="auto"/>
        <w:jc w:val="left"/>
        <w:rPr>
          <w:rFonts w:ascii="仿宋" w:hAnsi="仿宋" w:eastAsia="仿宋"/>
          <w:sz w:val="28"/>
          <w:szCs w:val="28"/>
        </w:rPr>
      </w:pPr>
      <w:r>
        <w:rPr>
          <w:rFonts w:hint="eastAsia" w:ascii="仿宋" w:hAnsi="仿宋" w:eastAsia="仿宋"/>
          <w:sz w:val="28"/>
          <w:szCs w:val="28"/>
        </w:rPr>
        <w:t>15.</w:t>
      </w:r>
      <w:r>
        <w:rPr>
          <w:rFonts w:hint="eastAsia"/>
        </w:rPr>
        <w:t xml:space="preserve"> </w:t>
      </w:r>
      <w:r>
        <w:rPr>
          <w:rFonts w:hint="eastAsia" w:ascii="仿宋" w:hAnsi="仿宋" w:eastAsia="仿宋"/>
          <w:sz w:val="28"/>
          <w:szCs w:val="28"/>
        </w:rPr>
        <w:t>2021年秋季学期课程思政教学指导委员会会议（</w:t>
      </w:r>
      <w:r>
        <w:rPr>
          <w:rFonts w:ascii="仿宋" w:hAnsi="仿宋" w:eastAsia="仿宋"/>
          <w:sz w:val="28"/>
          <w:szCs w:val="28"/>
        </w:rPr>
        <w:t>2021-08-31</w:t>
      </w:r>
      <w:r>
        <w:rPr>
          <w:rFonts w:hint="eastAsia" w:ascii="仿宋" w:hAnsi="仿宋" w:eastAsia="仿宋"/>
          <w:sz w:val="28"/>
          <w:szCs w:val="28"/>
        </w:rPr>
        <w:t>）</w:t>
      </w:r>
    </w:p>
    <w:p>
      <w:pPr>
        <w:widowControl/>
        <w:spacing w:line="360" w:lineRule="auto"/>
        <w:jc w:val="left"/>
        <w:rPr>
          <w:rFonts w:ascii="仿宋" w:hAnsi="仿宋" w:eastAsia="仿宋"/>
          <w:sz w:val="28"/>
          <w:szCs w:val="28"/>
        </w:rPr>
      </w:pPr>
      <w:r>
        <w:drawing>
          <wp:inline distT="0" distB="0" distL="0" distR="0">
            <wp:extent cx="5276850" cy="3686175"/>
            <wp:effectExtent l="0" t="0" r="6350" b="952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60"/>
                    <a:stretch>
                      <a:fillRect/>
                    </a:stretch>
                  </pic:blipFill>
                  <pic:spPr>
                    <a:xfrm>
                      <a:off x="0" y="0"/>
                      <a:ext cx="5274310" cy="3686175"/>
                    </a:xfrm>
                    <a:prstGeom prst="rect">
                      <a:avLst/>
                    </a:prstGeom>
                  </pic:spPr>
                </pic:pic>
              </a:graphicData>
            </a:graphic>
          </wp:inline>
        </w:drawing>
      </w:r>
    </w:p>
    <w:p>
      <w:pPr>
        <w:widowControl/>
        <w:spacing w:line="360" w:lineRule="auto"/>
        <w:jc w:val="left"/>
        <w:rPr>
          <w:rFonts w:asciiTheme="minorEastAsia" w:hAnsiTheme="minorEastAsia"/>
          <w:color w:val="000000"/>
          <w:kern w:val="0"/>
          <w:sz w:val="28"/>
          <w:szCs w:val="28"/>
        </w:rPr>
      </w:pPr>
    </w:p>
    <w:p>
      <w:pPr>
        <w:widowControl/>
        <w:spacing w:line="360" w:lineRule="auto"/>
        <w:jc w:val="left"/>
        <w:rPr>
          <w:rFonts w:asciiTheme="minorEastAsia" w:hAnsiTheme="minorEastAsia"/>
          <w:color w:val="000000"/>
          <w:kern w:val="0"/>
          <w:sz w:val="28"/>
          <w:szCs w:val="28"/>
        </w:rPr>
      </w:pPr>
      <w:r>
        <w:rPr>
          <w:rFonts w:hint="eastAsia" w:asciiTheme="minorEastAsia" w:hAnsiTheme="minorEastAsia"/>
          <w:color w:val="000000"/>
          <w:kern w:val="0"/>
          <w:sz w:val="28"/>
          <w:szCs w:val="28"/>
        </w:rPr>
        <w:t>16.上海高校课程思政建设论坛在上海应用技术大学举行（2021年11月20日）</w:t>
      </w:r>
    </w:p>
    <w:p>
      <w:pPr>
        <w:widowControl/>
        <w:spacing w:line="360" w:lineRule="auto"/>
        <w:jc w:val="left"/>
        <w:rPr>
          <w:rFonts w:ascii="仿宋" w:hAnsi="仿宋" w:eastAsia="仿宋"/>
          <w:sz w:val="28"/>
          <w:szCs w:val="28"/>
        </w:rPr>
      </w:pPr>
      <w:r>
        <w:drawing>
          <wp:inline distT="0" distB="0" distL="0" distR="0">
            <wp:extent cx="5124450" cy="3209925"/>
            <wp:effectExtent l="0" t="0" r="6350" b="317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61"/>
                    <a:stretch>
                      <a:fillRect/>
                    </a:stretch>
                  </pic:blipFill>
                  <pic:spPr>
                    <a:xfrm>
                      <a:off x="0" y="0"/>
                      <a:ext cx="5124450" cy="3216808"/>
                    </a:xfrm>
                    <a:prstGeom prst="rect">
                      <a:avLst/>
                    </a:prstGeom>
                  </pic:spPr>
                </pic:pic>
              </a:graphicData>
            </a:graphic>
          </wp:inline>
        </w:drawing>
      </w:r>
    </w:p>
    <w:p>
      <w:pPr>
        <w:widowControl/>
        <w:spacing w:line="360" w:lineRule="auto"/>
        <w:jc w:val="left"/>
        <w:rPr>
          <w:rFonts w:ascii="仿宋" w:hAnsi="仿宋" w:eastAsia="仿宋"/>
          <w:sz w:val="28"/>
          <w:szCs w:val="28"/>
        </w:rPr>
      </w:pPr>
      <w:r>
        <w:drawing>
          <wp:inline distT="0" distB="0" distL="0" distR="0">
            <wp:extent cx="5095875" cy="3648075"/>
            <wp:effectExtent l="0" t="0" r="9525" b="952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62"/>
                    <a:stretch>
                      <a:fillRect/>
                    </a:stretch>
                  </pic:blipFill>
                  <pic:spPr>
                    <a:xfrm>
                      <a:off x="0" y="0"/>
                      <a:ext cx="5102788" cy="3648075"/>
                    </a:xfrm>
                    <a:prstGeom prst="rect">
                      <a:avLst/>
                    </a:prstGeom>
                  </pic:spPr>
                </pic:pic>
              </a:graphicData>
            </a:graphic>
          </wp:inline>
        </w:drawing>
      </w:r>
    </w:p>
    <w:p>
      <w:pPr>
        <w:widowControl/>
        <w:spacing w:line="360" w:lineRule="auto"/>
        <w:jc w:val="left"/>
        <w:rPr>
          <w:rFonts w:ascii="Times New Roman" w:hAnsi="Times New Roman" w:cs="Times New Roman"/>
          <w:snapToGrid w:val="0"/>
          <w:color w:val="000000"/>
          <w:w w:val="0"/>
          <w:kern w:val="0"/>
          <w:sz w:val="0"/>
          <w:szCs w:val="0"/>
          <w:u w:color="000000"/>
          <w:shd w:val="clear" w:color="000000" w:fill="000000"/>
          <w:lang w:val="zh-CN" w:bidi="zh-CN"/>
        </w:rPr>
      </w:pP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t xml:space="preserve"> </w:t>
      </w:r>
      <w:r>
        <w:drawing>
          <wp:inline distT="0" distB="0" distL="0" distR="0">
            <wp:extent cx="5219700" cy="3876675"/>
            <wp:effectExtent l="0" t="0" r="0" b="952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63"/>
                    <a:stretch>
                      <a:fillRect/>
                    </a:stretch>
                  </pic:blipFill>
                  <pic:spPr>
                    <a:xfrm>
                      <a:off x="0" y="0"/>
                      <a:ext cx="5217187" cy="3876675"/>
                    </a:xfrm>
                    <a:prstGeom prst="rect">
                      <a:avLst/>
                    </a:prstGeom>
                  </pic:spPr>
                </pic:pic>
              </a:graphicData>
            </a:graphic>
          </wp:inline>
        </w:drawing>
      </w:r>
    </w:p>
    <w:p>
      <w:pPr>
        <w:widowControl/>
        <w:spacing w:line="360" w:lineRule="auto"/>
        <w:jc w:val="left"/>
        <w:rPr>
          <w:rFonts w:ascii="仿宋" w:hAnsi="仿宋"/>
          <w:sz w:val="28"/>
          <w:szCs w:val="28"/>
        </w:rPr>
      </w:pPr>
      <w:r>
        <w:drawing>
          <wp:inline distT="0" distB="0" distL="0" distR="0">
            <wp:extent cx="5276850" cy="4095750"/>
            <wp:effectExtent l="0" t="0" r="6350" b="635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64"/>
                    <a:stretch>
                      <a:fillRect/>
                    </a:stretch>
                  </pic:blipFill>
                  <pic:spPr>
                    <a:xfrm>
                      <a:off x="0" y="0"/>
                      <a:ext cx="5274310" cy="4095750"/>
                    </a:xfrm>
                    <a:prstGeom prst="rect">
                      <a:avLst/>
                    </a:prstGeom>
                  </pic:spPr>
                </pic:pic>
              </a:graphicData>
            </a:graphic>
          </wp:inline>
        </w:drawing>
      </w:r>
    </w:p>
    <w:p>
      <w:pPr>
        <w:widowControl/>
        <w:spacing w:line="360" w:lineRule="auto"/>
        <w:jc w:val="left"/>
        <w:rPr>
          <w:rFonts w:ascii="仿宋" w:hAnsi="仿宋" w:eastAsia="仿宋"/>
          <w:sz w:val="28"/>
          <w:szCs w:val="28"/>
        </w:rPr>
      </w:pPr>
      <w:r>
        <w:drawing>
          <wp:inline distT="0" distB="0" distL="0" distR="0">
            <wp:extent cx="5219700" cy="381000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65"/>
                    <a:stretch>
                      <a:fillRect/>
                    </a:stretch>
                  </pic:blipFill>
                  <pic:spPr>
                    <a:xfrm>
                      <a:off x="0" y="0"/>
                      <a:ext cx="5219700" cy="3810000"/>
                    </a:xfrm>
                    <a:prstGeom prst="rect">
                      <a:avLst/>
                    </a:prstGeom>
                  </pic:spPr>
                </pic:pic>
              </a:graphicData>
            </a:graphic>
          </wp:inline>
        </w:drawing>
      </w:r>
    </w:p>
    <w:p>
      <w:pPr>
        <w:widowControl/>
        <w:spacing w:line="360" w:lineRule="auto"/>
        <w:jc w:val="left"/>
        <w:rPr>
          <w:rFonts w:ascii="仿宋" w:hAnsi="仿宋" w:eastAsia="仿宋"/>
          <w:sz w:val="28"/>
          <w:szCs w:val="28"/>
        </w:rPr>
      </w:pPr>
      <w:r>
        <w:drawing>
          <wp:inline distT="0" distB="0" distL="0" distR="0">
            <wp:extent cx="5273040" cy="3971925"/>
            <wp:effectExtent l="0" t="0" r="10160" b="317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66"/>
                    <a:stretch>
                      <a:fillRect/>
                    </a:stretch>
                  </pic:blipFill>
                  <pic:spPr>
                    <a:xfrm>
                      <a:off x="0" y="0"/>
                      <a:ext cx="5274310" cy="3971925"/>
                    </a:xfrm>
                    <a:prstGeom prst="rect">
                      <a:avLst/>
                    </a:prstGeom>
                  </pic:spPr>
                </pic:pic>
              </a:graphicData>
            </a:graphic>
          </wp:inline>
        </w:drawing>
      </w:r>
    </w:p>
    <w:p>
      <w:pPr>
        <w:widowControl/>
        <w:spacing w:line="360" w:lineRule="auto"/>
        <w:jc w:val="left"/>
        <w:rPr>
          <w:rFonts w:ascii="仿宋" w:hAnsi="仿宋" w:eastAsia="仿宋"/>
          <w:sz w:val="28"/>
          <w:szCs w:val="28"/>
        </w:rPr>
      </w:pPr>
    </w:p>
    <w:p>
      <w:pPr>
        <w:widowControl/>
        <w:spacing w:line="360" w:lineRule="auto"/>
        <w:jc w:val="left"/>
        <w:rPr>
          <w:rFonts w:ascii="仿宋" w:hAnsi="仿宋" w:eastAsia="仿宋"/>
          <w:sz w:val="28"/>
          <w:szCs w:val="28"/>
        </w:rPr>
      </w:pPr>
    </w:p>
    <w:p>
      <w:pPr>
        <w:widowControl/>
        <w:spacing w:line="360" w:lineRule="auto"/>
        <w:jc w:val="left"/>
        <w:rPr>
          <w:rFonts w:asciiTheme="minorEastAsia" w:hAnsiTheme="minorEastAsia"/>
          <w:color w:val="000000"/>
          <w:kern w:val="0"/>
          <w:sz w:val="28"/>
          <w:szCs w:val="28"/>
        </w:rPr>
      </w:pPr>
      <w:r>
        <w:rPr>
          <w:rFonts w:hint="eastAsia" w:ascii="仿宋" w:hAnsi="仿宋" w:eastAsia="仿宋"/>
          <w:sz w:val="28"/>
          <w:szCs w:val="28"/>
        </w:rPr>
        <w:t>17</w:t>
      </w:r>
      <w:r>
        <w:rPr>
          <w:rFonts w:hint="eastAsia" w:asciiTheme="minorEastAsia" w:hAnsiTheme="minorEastAsia"/>
          <w:color w:val="000000"/>
          <w:kern w:val="0"/>
          <w:sz w:val="28"/>
          <w:szCs w:val="28"/>
        </w:rPr>
        <w:t>.学校课程思政重点改革领航学院汇报交流会(</w:t>
      </w:r>
      <w:r>
        <w:rPr>
          <w:rFonts w:asciiTheme="minorEastAsia" w:hAnsiTheme="minorEastAsia"/>
          <w:color w:val="000000"/>
          <w:kern w:val="0"/>
          <w:sz w:val="28"/>
          <w:szCs w:val="28"/>
        </w:rPr>
        <w:t>2022-01-05</w:t>
      </w:r>
      <w:r>
        <w:rPr>
          <w:rFonts w:hint="eastAsia" w:asciiTheme="minorEastAsia" w:hAnsiTheme="minorEastAsia"/>
          <w:color w:val="000000"/>
          <w:kern w:val="0"/>
          <w:sz w:val="28"/>
          <w:szCs w:val="28"/>
        </w:rPr>
        <w:t>)</w:t>
      </w:r>
    </w:p>
    <w:p>
      <w:pPr>
        <w:widowControl/>
        <w:spacing w:line="360" w:lineRule="auto"/>
        <w:jc w:val="left"/>
        <w:rPr>
          <w:rFonts w:asciiTheme="minorEastAsia" w:hAnsiTheme="minorEastAsia"/>
          <w:color w:val="000000"/>
          <w:kern w:val="0"/>
          <w:sz w:val="28"/>
          <w:szCs w:val="28"/>
        </w:rPr>
      </w:pPr>
      <w:r>
        <w:drawing>
          <wp:inline distT="0" distB="0" distL="0" distR="0">
            <wp:extent cx="5266690" cy="3810000"/>
            <wp:effectExtent l="0" t="0" r="381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67"/>
                    <a:stretch>
                      <a:fillRect/>
                    </a:stretch>
                  </pic:blipFill>
                  <pic:spPr>
                    <a:xfrm>
                      <a:off x="0" y="0"/>
                      <a:ext cx="5274310" cy="3810000"/>
                    </a:xfrm>
                    <a:prstGeom prst="rect">
                      <a:avLst/>
                    </a:prstGeom>
                  </pic:spPr>
                </pic:pic>
              </a:graphicData>
            </a:graphic>
          </wp:inline>
        </w:drawing>
      </w:r>
    </w:p>
    <w:p>
      <w:pPr>
        <w:widowControl/>
        <w:spacing w:line="360" w:lineRule="auto"/>
        <w:jc w:val="left"/>
        <w:rPr>
          <w:rFonts w:asciiTheme="minorEastAsia" w:hAnsiTheme="minorEastAsia"/>
          <w:color w:val="000000"/>
          <w:kern w:val="0"/>
          <w:sz w:val="28"/>
          <w:szCs w:val="28"/>
        </w:rPr>
      </w:pPr>
      <w:r>
        <w:drawing>
          <wp:inline distT="0" distB="0" distL="0" distR="0">
            <wp:extent cx="5276215" cy="3857625"/>
            <wp:effectExtent l="0" t="0" r="6985" b="317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68"/>
                    <a:stretch>
                      <a:fillRect/>
                    </a:stretch>
                  </pic:blipFill>
                  <pic:spPr>
                    <a:xfrm>
                      <a:off x="0" y="0"/>
                      <a:ext cx="5274310" cy="3857625"/>
                    </a:xfrm>
                    <a:prstGeom prst="rect">
                      <a:avLst/>
                    </a:prstGeom>
                  </pic:spPr>
                </pic:pic>
              </a:graphicData>
            </a:graphic>
          </wp:inline>
        </w:drawing>
      </w:r>
    </w:p>
    <w:p>
      <w:pPr>
        <w:widowControl/>
        <w:spacing w:line="360" w:lineRule="auto"/>
        <w:jc w:val="left"/>
        <w:rPr>
          <w:rFonts w:asciiTheme="minorEastAsia" w:hAnsiTheme="minorEastAsia"/>
          <w:color w:val="000000"/>
          <w:kern w:val="0"/>
          <w:sz w:val="28"/>
          <w:szCs w:val="28"/>
        </w:rPr>
      </w:pPr>
    </w:p>
    <w:p>
      <w:pPr>
        <w:widowControl/>
        <w:spacing w:line="360" w:lineRule="auto"/>
        <w:jc w:val="left"/>
        <w:rPr>
          <w:rFonts w:asciiTheme="minorEastAsia" w:hAnsiTheme="minorEastAsia"/>
          <w:color w:val="000000"/>
          <w:kern w:val="0"/>
          <w:sz w:val="28"/>
          <w:szCs w:val="28"/>
        </w:rPr>
      </w:pPr>
      <w:r>
        <w:rPr>
          <w:rFonts w:hint="eastAsia" w:asciiTheme="minorEastAsia" w:hAnsiTheme="minorEastAsia"/>
          <w:color w:val="000000"/>
          <w:kern w:val="0"/>
          <w:sz w:val="28"/>
          <w:szCs w:val="28"/>
        </w:rPr>
        <w:t>18.举办上海市高校继续教育教师队伍课程思政教育能力提升工程专题培训班(</w:t>
      </w:r>
      <w:r>
        <w:rPr>
          <w:rFonts w:asciiTheme="minorEastAsia" w:hAnsiTheme="minorEastAsia"/>
          <w:color w:val="000000"/>
          <w:kern w:val="0"/>
          <w:sz w:val="28"/>
          <w:szCs w:val="28"/>
        </w:rPr>
        <w:t>2022-</w:t>
      </w:r>
      <w:r>
        <w:rPr>
          <w:rFonts w:hint="eastAsia" w:asciiTheme="minorEastAsia" w:hAnsiTheme="minorEastAsia"/>
          <w:color w:val="000000"/>
          <w:kern w:val="0"/>
          <w:sz w:val="28"/>
          <w:szCs w:val="28"/>
        </w:rPr>
        <w:t>11</w:t>
      </w:r>
      <w:r>
        <w:rPr>
          <w:rFonts w:asciiTheme="minorEastAsia" w:hAnsiTheme="minorEastAsia"/>
          <w:color w:val="000000"/>
          <w:kern w:val="0"/>
          <w:sz w:val="28"/>
          <w:szCs w:val="28"/>
        </w:rPr>
        <w:t>-</w:t>
      </w:r>
      <w:r>
        <w:rPr>
          <w:rFonts w:hint="eastAsia" w:asciiTheme="minorEastAsia" w:hAnsiTheme="minorEastAsia"/>
          <w:color w:val="000000"/>
          <w:kern w:val="0"/>
          <w:sz w:val="28"/>
          <w:szCs w:val="28"/>
        </w:rPr>
        <w:t>9)</w:t>
      </w:r>
    </w:p>
    <w:p>
      <w:pPr>
        <w:widowControl/>
        <w:spacing w:line="360" w:lineRule="auto"/>
        <w:jc w:val="left"/>
        <w:rPr>
          <w:rFonts w:asciiTheme="minorEastAsia" w:hAnsiTheme="minorEastAsia"/>
          <w:color w:val="000000"/>
          <w:kern w:val="0"/>
          <w:sz w:val="28"/>
          <w:szCs w:val="28"/>
        </w:rPr>
      </w:pPr>
      <w:r>
        <w:drawing>
          <wp:inline distT="0" distB="0" distL="0" distR="0">
            <wp:extent cx="5276850" cy="3371850"/>
            <wp:effectExtent l="0" t="0" r="635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9"/>
                    <a:stretch>
                      <a:fillRect/>
                    </a:stretch>
                  </pic:blipFill>
                  <pic:spPr>
                    <a:xfrm>
                      <a:off x="0" y="0"/>
                      <a:ext cx="5276850" cy="3376113"/>
                    </a:xfrm>
                    <a:prstGeom prst="rect">
                      <a:avLst/>
                    </a:prstGeom>
                  </pic:spPr>
                </pic:pic>
              </a:graphicData>
            </a:graphic>
          </wp:inline>
        </w:drawing>
      </w:r>
    </w:p>
    <w:p>
      <w:pPr>
        <w:widowControl/>
        <w:spacing w:line="360" w:lineRule="auto"/>
        <w:jc w:val="left"/>
        <w:rPr>
          <w:rFonts w:asciiTheme="minorEastAsia" w:hAnsiTheme="minorEastAsia"/>
          <w:color w:val="000000"/>
          <w:kern w:val="0"/>
          <w:sz w:val="28"/>
          <w:szCs w:val="28"/>
        </w:rPr>
      </w:pPr>
      <w:r>
        <w:drawing>
          <wp:inline distT="0" distB="0" distL="0" distR="0">
            <wp:extent cx="5274945" cy="3905250"/>
            <wp:effectExtent l="0" t="0" r="8255"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0"/>
                    <a:stretch>
                      <a:fillRect/>
                    </a:stretch>
                  </pic:blipFill>
                  <pic:spPr>
                    <a:xfrm>
                      <a:off x="0" y="0"/>
                      <a:ext cx="5274310" cy="3905250"/>
                    </a:xfrm>
                    <a:prstGeom prst="rect">
                      <a:avLst/>
                    </a:prstGeom>
                  </pic:spPr>
                </pic:pic>
              </a:graphicData>
            </a:graphic>
          </wp:inline>
        </w:drawing>
      </w:r>
    </w:p>
    <w:p>
      <w:pPr>
        <w:widowControl/>
        <w:spacing w:line="360" w:lineRule="auto"/>
        <w:jc w:val="left"/>
        <w:rPr>
          <w:rFonts w:asciiTheme="minorEastAsia" w:hAnsiTheme="minorEastAsia"/>
          <w:color w:val="000000"/>
          <w:kern w:val="0"/>
          <w:sz w:val="28"/>
          <w:szCs w:val="28"/>
        </w:rPr>
      </w:pPr>
    </w:p>
    <w:p>
      <w:pPr>
        <w:widowControl/>
        <w:spacing w:line="360" w:lineRule="auto"/>
        <w:jc w:val="left"/>
        <w:rPr>
          <w:rFonts w:asciiTheme="minorEastAsia" w:hAnsiTheme="minorEastAsia"/>
          <w:color w:val="000000"/>
          <w:kern w:val="0"/>
          <w:sz w:val="28"/>
          <w:szCs w:val="28"/>
        </w:rPr>
      </w:pPr>
      <w:r>
        <w:rPr>
          <w:rFonts w:hint="eastAsia" w:asciiTheme="minorEastAsia" w:hAnsiTheme="minorEastAsia"/>
          <w:color w:val="000000"/>
          <w:kern w:val="0"/>
          <w:sz w:val="28"/>
          <w:szCs w:val="28"/>
        </w:rPr>
        <w:t>19.党的二十大精神融入思政课集体备课会（</w:t>
      </w:r>
      <w:r>
        <w:rPr>
          <w:rFonts w:asciiTheme="minorEastAsia" w:hAnsiTheme="minorEastAsia"/>
          <w:color w:val="000000"/>
          <w:kern w:val="0"/>
          <w:sz w:val="28"/>
          <w:szCs w:val="28"/>
        </w:rPr>
        <w:t>202</w:t>
      </w:r>
      <w:r>
        <w:rPr>
          <w:rFonts w:hint="eastAsia" w:asciiTheme="minorEastAsia" w:hAnsiTheme="minorEastAsia"/>
          <w:color w:val="000000"/>
          <w:kern w:val="0"/>
          <w:sz w:val="28"/>
          <w:szCs w:val="28"/>
        </w:rPr>
        <w:t>2</w:t>
      </w:r>
      <w:r>
        <w:rPr>
          <w:rFonts w:asciiTheme="minorEastAsia" w:hAnsiTheme="minorEastAsia"/>
          <w:color w:val="000000"/>
          <w:kern w:val="0"/>
          <w:sz w:val="28"/>
          <w:szCs w:val="28"/>
        </w:rPr>
        <w:t>-11-1</w:t>
      </w:r>
      <w:r>
        <w:rPr>
          <w:rFonts w:hint="eastAsia" w:asciiTheme="minorEastAsia" w:hAnsiTheme="minorEastAsia"/>
          <w:color w:val="000000"/>
          <w:kern w:val="0"/>
          <w:sz w:val="28"/>
          <w:szCs w:val="28"/>
        </w:rPr>
        <w:t>1）</w:t>
      </w:r>
    </w:p>
    <w:p>
      <w:pPr>
        <w:widowControl/>
        <w:spacing w:line="360" w:lineRule="auto"/>
        <w:jc w:val="left"/>
        <w:rPr>
          <w:rFonts w:ascii="仿宋" w:hAnsi="仿宋" w:eastAsia="仿宋"/>
          <w:sz w:val="28"/>
          <w:szCs w:val="28"/>
        </w:rPr>
      </w:pPr>
      <w:r>
        <w:drawing>
          <wp:inline distT="0" distB="0" distL="0" distR="0">
            <wp:extent cx="5269865" cy="3800475"/>
            <wp:effectExtent l="0" t="0" r="63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71"/>
                    <a:stretch>
                      <a:fillRect/>
                    </a:stretch>
                  </pic:blipFill>
                  <pic:spPr>
                    <a:xfrm>
                      <a:off x="0" y="0"/>
                      <a:ext cx="5274310" cy="3800475"/>
                    </a:xfrm>
                    <a:prstGeom prst="rect">
                      <a:avLst/>
                    </a:prstGeom>
                  </pic:spPr>
                </pic:pic>
              </a:graphicData>
            </a:graphic>
          </wp:inline>
        </w:drawing>
      </w:r>
    </w:p>
    <w:p>
      <w:pPr>
        <w:widowControl/>
        <w:spacing w:line="360" w:lineRule="auto"/>
        <w:jc w:val="left"/>
        <w:rPr>
          <w:rFonts w:ascii="仿宋" w:hAnsi="仿宋" w:eastAsia="仿宋"/>
          <w:sz w:val="28"/>
          <w:szCs w:val="28"/>
        </w:rPr>
      </w:pPr>
      <w:r>
        <w:drawing>
          <wp:inline distT="0" distB="0" distL="0" distR="0">
            <wp:extent cx="5272405" cy="3486150"/>
            <wp:effectExtent l="0" t="0" r="10795" b="635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72"/>
                    <a:stretch>
                      <a:fillRect/>
                    </a:stretch>
                  </pic:blipFill>
                  <pic:spPr>
                    <a:xfrm>
                      <a:off x="0" y="0"/>
                      <a:ext cx="5274310" cy="3486150"/>
                    </a:xfrm>
                    <a:prstGeom prst="rect">
                      <a:avLst/>
                    </a:prstGeom>
                  </pic:spPr>
                </pic:pic>
              </a:graphicData>
            </a:graphic>
          </wp:inline>
        </w:drawing>
      </w:r>
    </w:p>
    <w:p>
      <w:pPr>
        <w:widowControl/>
        <w:spacing w:line="360" w:lineRule="auto"/>
        <w:jc w:val="left"/>
        <w:rPr>
          <w:rFonts w:ascii="仿宋" w:hAnsi="仿宋" w:eastAsia="仿宋"/>
          <w:sz w:val="28"/>
          <w:szCs w:val="28"/>
        </w:rPr>
      </w:pPr>
    </w:p>
    <w:p>
      <w:pPr>
        <w:widowControl/>
        <w:spacing w:line="360" w:lineRule="auto"/>
        <w:jc w:val="left"/>
        <w:rPr>
          <w:rFonts w:ascii="仿宋" w:hAnsi="仿宋" w:eastAsia="仿宋"/>
          <w:sz w:val="28"/>
          <w:szCs w:val="28"/>
        </w:rPr>
      </w:pPr>
      <w:r>
        <w:rPr>
          <w:rFonts w:ascii="仿宋" w:hAnsi="仿宋" w:eastAsia="仿宋"/>
          <w:sz w:val="28"/>
          <w:szCs w:val="28"/>
        </w:rPr>
        <w:br w:type="page"/>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r>
        <w:rPr>
          <w:rFonts w:hint="eastAsia"/>
        </w:rPr>
        <w:t xml:space="preserve"> </w:t>
      </w:r>
    </w:p>
    <w:p>
      <w:pPr>
        <w:pStyle w:val="2"/>
        <w:spacing w:line="360" w:lineRule="auto"/>
        <w:jc w:val="center"/>
        <w:rPr>
          <w:sz w:val="36"/>
          <w:szCs w:val="36"/>
        </w:rPr>
      </w:pPr>
      <w:bookmarkStart w:id="29" w:name="_Toc131671192"/>
      <w:r>
        <w:rPr>
          <w:rFonts w:hint="eastAsia"/>
          <w:sz w:val="36"/>
          <w:szCs w:val="36"/>
        </w:rPr>
        <w:t>第四部分  附件</w:t>
      </w:r>
      <w:bookmarkEnd w:id="29"/>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widowControl/>
        <w:spacing w:line="360" w:lineRule="auto"/>
        <w:jc w:val="left"/>
      </w:pPr>
      <w:r>
        <w:br w:type="page"/>
      </w:r>
    </w:p>
    <w:p>
      <w:pPr>
        <w:spacing w:line="360" w:lineRule="auto"/>
        <w:rPr>
          <w:rFonts w:ascii="仿宋" w:hAnsi="仿宋" w:eastAsia="仿宋"/>
          <w:sz w:val="28"/>
          <w:szCs w:val="28"/>
        </w:rPr>
      </w:pPr>
      <w:r>
        <w:rPr>
          <w:rFonts w:hint="eastAsia" w:ascii="仿宋" w:hAnsi="仿宋" w:eastAsia="仿宋"/>
          <w:sz w:val="28"/>
          <w:szCs w:val="28"/>
        </w:rPr>
        <w:t>附件一</w:t>
      </w:r>
    </w:p>
    <w:p>
      <w:pPr>
        <w:pStyle w:val="2"/>
        <w:spacing w:before="0" w:after="0" w:line="360" w:lineRule="auto"/>
        <w:ind w:firstLine="602" w:firstLineChars="200"/>
        <w:jc w:val="center"/>
        <w:rPr>
          <w:rFonts w:asciiTheme="minorEastAsia" w:hAnsiTheme="minorEastAsia"/>
          <w:sz w:val="30"/>
          <w:szCs w:val="30"/>
        </w:rPr>
      </w:pPr>
      <w:bookmarkStart w:id="30" w:name="_Toc131671193"/>
      <w:r>
        <w:rPr>
          <w:rFonts w:hint="eastAsia" w:asciiTheme="minorEastAsia" w:hAnsiTheme="minorEastAsia"/>
          <w:sz w:val="30"/>
          <w:szCs w:val="30"/>
        </w:rPr>
        <w:t>上海应用技术大学课程思政“十四五”专项发展规划</w:t>
      </w:r>
      <w:bookmarkEnd w:id="30"/>
    </w:p>
    <w:p>
      <w:pPr>
        <w:spacing w:line="360" w:lineRule="auto"/>
        <w:rPr>
          <w:rFonts w:ascii="仿宋" w:hAnsi="仿宋" w:eastAsia="仿宋"/>
          <w:b/>
          <w:sz w:val="28"/>
          <w:szCs w:val="28"/>
        </w:rPr>
      </w:pPr>
    </w:p>
    <w:p>
      <w:pPr>
        <w:spacing w:line="360" w:lineRule="auto"/>
        <w:ind w:firstLine="562" w:firstLineChars="200"/>
        <w:rPr>
          <w:rFonts w:ascii="仿宋" w:hAnsi="仿宋" w:eastAsia="仿宋"/>
          <w:b/>
          <w:sz w:val="28"/>
          <w:szCs w:val="28"/>
        </w:rPr>
      </w:pPr>
      <w:r>
        <w:rPr>
          <w:rFonts w:hint="eastAsia" w:ascii="仿宋" w:hAnsi="仿宋" w:eastAsia="仿宋"/>
          <w:b/>
          <w:sz w:val="28"/>
          <w:szCs w:val="28"/>
        </w:rPr>
        <w:t>一、发展思路</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坚持把立德树人作为根本任务，将课程思政建设与学校办学定位和人才培养特色相结合，与</w:t>
      </w:r>
      <w:r>
        <w:rPr>
          <w:rFonts w:ascii="仿宋" w:hAnsi="仿宋" w:eastAsia="仿宋"/>
          <w:sz w:val="28"/>
          <w:szCs w:val="28"/>
        </w:rPr>
        <w:t>地方高水平应用型高校建设</w:t>
      </w:r>
      <w:r>
        <w:rPr>
          <w:rFonts w:hint="eastAsia" w:ascii="仿宋" w:hAnsi="仿宋" w:eastAsia="仿宋"/>
          <w:sz w:val="28"/>
          <w:szCs w:val="28"/>
        </w:rPr>
        <w:t>相融合，与学校现代化治理体系相协调。以实施课程思政“五大</w:t>
      </w:r>
      <w:r>
        <w:rPr>
          <w:rFonts w:ascii="仿宋" w:hAnsi="仿宋" w:eastAsia="仿宋"/>
          <w:sz w:val="28"/>
          <w:szCs w:val="28"/>
        </w:rPr>
        <w:t>工程</w:t>
      </w:r>
      <w:r>
        <w:rPr>
          <w:rFonts w:hint="eastAsia" w:ascii="仿宋" w:hAnsi="仿宋" w:eastAsia="仿宋"/>
          <w:sz w:val="28"/>
          <w:szCs w:val="28"/>
        </w:rPr>
        <w:t>”为抓手</w:t>
      </w:r>
      <w:r>
        <w:rPr>
          <w:rFonts w:ascii="仿宋" w:hAnsi="仿宋" w:eastAsia="仿宋"/>
          <w:sz w:val="28"/>
          <w:szCs w:val="28"/>
        </w:rPr>
        <w:t>，</w:t>
      </w:r>
      <w:r>
        <w:rPr>
          <w:rFonts w:hint="eastAsia" w:ascii="仿宋" w:hAnsi="仿宋" w:eastAsia="仿宋"/>
          <w:sz w:val="28"/>
          <w:szCs w:val="28"/>
        </w:rPr>
        <w:t>推动课程思政“面上推进、系统集成”</w:t>
      </w:r>
      <w:r>
        <w:rPr>
          <w:rFonts w:ascii="仿宋" w:hAnsi="仿宋" w:eastAsia="仿宋"/>
          <w:sz w:val="28"/>
          <w:szCs w:val="28"/>
        </w:rPr>
        <w:t>，</w:t>
      </w:r>
      <w:r>
        <w:rPr>
          <w:rFonts w:hint="eastAsia" w:ascii="仿宋" w:hAnsi="仿宋" w:eastAsia="仿宋"/>
          <w:sz w:val="28"/>
          <w:szCs w:val="28"/>
        </w:rPr>
        <w:t>并重点在完善人才培养方案、研制课程思政教学指南、加强课程教学管理、提升教师育德意识与能力和完善课程思政体制机制建设等方面实现突破，</w:t>
      </w:r>
      <w:r>
        <w:rPr>
          <w:rFonts w:ascii="仿宋" w:hAnsi="仿宋" w:eastAsia="仿宋"/>
          <w:sz w:val="28"/>
          <w:szCs w:val="28"/>
        </w:rPr>
        <w:t>整体</w:t>
      </w:r>
      <w:r>
        <w:rPr>
          <w:rFonts w:hint="eastAsia" w:ascii="仿宋" w:hAnsi="仿宋" w:eastAsia="仿宋"/>
          <w:sz w:val="28"/>
          <w:szCs w:val="28"/>
        </w:rPr>
        <w:t>提升全校</w:t>
      </w:r>
      <w:r>
        <w:rPr>
          <w:rFonts w:ascii="仿宋" w:hAnsi="仿宋" w:eastAsia="仿宋"/>
          <w:sz w:val="28"/>
          <w:szCs w:val="28"/>
        </w:rPr>
        <w:t>课程思政</w:t>
      </w:r>
      <w:r>
        <w:rPr>
          <w:rFonts w:hint="eastAsia" w:ascii="仿宋" w:hAnsi="仿宋" w:eastAsia="仿宋"/>
          <w:sz w:val="28"/>
          <w:szCs w:val="28"/>
        </w:rPr>
        <w:t>建设的科学性和实效性。</w:t>
      </w:r>
    </w:p>
    <w:p>
      <w:pPr>
        <w:spacing w:line="360" w:lineRule="auto"/>
        <w:ind w:firstLine="562" w:firstLineChars="200"/>
        <w:rPr>
          <w:rFonts w:ascii="仿宋" w:hAnsi="仿宋" w:eastAsia="仿宋"/>
          <w:b/>
          <w:sz w:val="28"/>
          <w:szCs w:val="28"/>
        </w:rPr>
      </w:pPr>
      <w:r>
        <w:rPr>
          <w:rFonts w:hint="eastAsia" w:ascii="仿宋" w:hAnsi="仿宋" w:eastAsia="仿宋"/>
          <w:b/>
          <w:sz w:val="28"/>
          <w:szCs w:val="28"/>
        </w:rPr>
        <w:t>二、发展目标</w:t>
      </w:r>
    </w:p>
    <w:p>
      <w:pPr>
        <w:spacing w:line="360" w:lineRule="auto"/>
        <w:ind w:firstLine="560" w:firstLineChars="200"/>
        <w:rPr>
          <w:rFonts w:ascii="仿宋" w:hAnsi="仿宋" w:eastAsia="仿宋"/>
          <w:sz w:val="28"/>
          <w:szCs w:val="28"/>
        </w:rPr>
      </w:pPr>
      <w:r>
        <w:rPr>
          <w:rFonts w:hint="eastAsia" w:ascii="仿宋" w:hAnsi="仿宋" w:eastAsia="仿宋"/>
          <w:sz w:val="28"/>
          <w:szCs w:val="28"/>
        </w:rPr>
        <w:t>以提升高素质</w:t>
      </w:r>
      <w:r>
        <w:rPr>
          <w:rFonts w:ascii="仿宋" w:hAnsi="仿宋" w:eastAsia="仿宋"/>
          <w:sz w:val="28"/>
          <w:szCs w:val="28"/>
        </w:rPr>
        <w:t>应用创新型人才培养质量为</w:t>
      </w:r>
      <w:r>
        <w:rPr>
          <w:rFonts w:hint="eastAsia" w:ascii="仿宋" w:hAnsi="仿宋" w:eastAsia="仿宋"/>
          <w:sz w:val="28"/>
          <w:szCs w:val="28"/>
        </w:rPr>
        <w:t>落脚点</w:t>
      </w:r>
      <w:r>
        <w:rPr>
          <w:rFonts w:ascii="仿宋" w:hAnsi="仿宋" w:eastAsia="仿宋"/>
          <w:sz w:val="28"/>
          <w:szCs w:val="28"/>
        </w:rPr>
        <w:t>，</w:t>
      </w:r>
      <w:r>
        <w:rPr>
          <w:rFonts w:hint="eastAsia" w:ascii="仿宋" w:hAnsi="仿宋" w:eastAsia="仿宋"/>
          <w:sz w:val="28"/>
          <w:szCs w:val="28"/>
        </w:rPr>
        <w:t>紧紧抓住“厚德”和“精技”两个关键，构建起以思想政治理论课为核心，思想政治理论选修课为支撑，综合素养课为拓展，专业课程与思政课程同向同行的课程思政育人体系。完善与课程思政整体改革领航校建设要求相适应的课程教学管理制度、教师教学发展制度和基层教学组织建设制度，使社会主义核心价值观深入人心，教师育德能力显著增强，学生思想道德素质和科学文化素质明显提高。</w:t>
      </w:r>
    </w:p>
    <w:p>
      <w:pPr>
        <w:spacing w:line="360" w:lineRule="auto"/>
        <w:ind w:firstLine="562" w:firstLineChars="200"/>
        <w:rPr>
          <w:rFonts w:ascii="仿宋" w:hAnsi="仿宋" w:eastAsia="仿宋"/>
          <w:b/>
          <w:sz w:val="28"/>
          <w:szCs w:val="28"/>
        </w:rPr>
      </w:pPr>
      <w:r>
        <w:rPr>
          <w:rFonts w:hint="eastAsia" w:ascii="仿宋" w:hAnsi="仿宋" w:eastAsia="仿宋"/>
          <w:b/>
          <w:sz w:val="28"/>
          <w:szCs w:val="28"/>
        </w:rPr>
        <w:t>三、重点任务与举措</w:t>
      </w:r>
    </w:p>
    <w:p>
      <w:pPr>
        <w:spacing w:line="360" w:lineRule="auto"/>
        <w:ind w:firstLine="540" w:firstLineChars="192"/>
        <w:rPr>
          <w:rFonts w:ascii="仿宋" w:hAnsi="仿宋" w:eastAsia="仿宋"/>
          <w:b/>
          <w:sz w:val="28"/>
          <w:szCs w:val="28"/>
        </w:rPr>
      </w:pPr>
      <w:r>
        <w:rPr>
          <w:rFonts w:hint="eastAsia" w:ascii="仿宋" w:hAnsi="仿宋" w:eastAsia="仿宋"/>
          <w:b/>
          <w:sz w:val="28"/>
          <w:szCs w:val="28"/>
        </w:rPr>
        <w:t>（一）以“</w:t>
      </w:r>
      <w:r>
        <w:rPr>
          <w:rFonts w:ascii="仿宋" w:hAnsi="仿宋" w:eastAsia="仿宋"/>
          <w:b/>
          <w:sz w:val="28"/>
          <w:szCs w:val="28"/>
        </w:rPr>
        <w:t>ASciT</w:t>
      </w:r>
      <w:r>
        <w:rPr>
          <w:rFonts w:hint="eastAsia" w:ascii="仿宋" w:hAnsi="仿宋" w:eastAsia="仿宋"/>
          <w:b/>
          <w:sz w:val="28"/>
          <w:szCs w:val="28"/>
        </w:rPr>
        <w:t>—</w:t>
      </w:r>
      <w:r>
        <w:rPr>
          <w:rFonts w:ascii="仿宋" w:hAnsi="仿宋" w:eastAsia="仿宋"/>
          <w:b/>
          <w:sz w:val="28"/>
          <w:szCs w:val="28"/>
        </w:rPr>
        <w:t>OBE</w:t>
      </w:r>
      <w:r>
        <w:rPr>
          <w:rFonts w:hint="eastAsia" w:ascii="仿宋" w:hAnsi="仿宋" w:eastAsia="仿宋"/>
          <w:b/>
          <w:sz w:val="28"/>
          <w:szCs w:val="28"/>
        </w:rPr>
        <w:t>”培养模式</w:t>
      </w:r>
      <w:r>
        <w:rPr>
          <w:rFonts w:ascii="仿宋" w:hAnsi="仿宋" w:eastAsia="仿宋"/>
          <w:b/>
          <w:sz w:val="28"/>
          <w:szCs w:val="28"/>
        </w:rPr>
        <w:t>改革带动</w:t>
      </w:r>
      <w:r>
        <w:rPr>
          <w:rFonts w:hint="eastAsia" w:ascii="仿宋" w:hAnsi="仿宋" w:eastAsia="仿宋"/>
          <w:b/>
          <w:sz w:val="28"/>
          <w:szCs w:val="28"/>
        </w:rPr>
        <w:t>课程思政</w:t>
      </w:r>
      <w:r>
        <w:rPr>
          <w:rFonts w:ascii="仿宋" w:hAnsi="仿宋" w:eastAsia="仿宋"/>
          <w:b/>
          <w:sz w:val="28"/>
          <w:szCs w:val="28"/>
        </w:rPr>
        <w:t>建设</w:t>
      </w:r>
    </w:p>
    <w:p>
      <w:pPr>
        <w:spacing w:line="360" w:lineRule="auto"/>
        <w:ind w:firstLine="537" w:firstLineChars="192"/>
        <w:rPr>
          <w:rFonts w:ascii="仿宋" w:hAnsi="仿宋" w:eastAsia="仿宋"/>
          <w:sz w:val="28"/>
          <w:szCs w:val="28"/>
        </w:rPr>
      </w:pPr>
      <w:r>
        <w:rPr>
          <w:rFonts w:hint="eastAsia" w:ascii="仿宋" w:hAnsi="仿宋" w:eastAsia="仿宋"/>
          <w:sz w:val="28"/>
          <w:szCs w:val="28"/>
        </w:rPr>
        <w:t>以创新ASciT-OBE（爱科技-成果导向）人才培养模式为引领，找准切入点，围绕</w:t>
      </w:r>
      <w:r>
        <w:rPr>
          <w:rFonts w:ascii="仿宋" w:hAnsi="仿宋" w:eastAsia="仿宋"/>
          <w:sz w:val="28"/>
          <w:szCs w:val="28"/>
        </w:rPr>
        <w:t>课程思政建设</w:t>
      </w:r>
      <w:r>
        <w:rPr>
          <w:rFonts w:hint="eastAsia" w:ascii="仿宋" w:hAnsi="仿宋" w:eastAsia="仿宋"/>
          <w:sz w:val="28"/>
          <w:szCs w:val="28"/>
        </w:rPr>
        <w:t>的学校特点和学科特色，进一步</w:t>
      </w:r>
      <w:r>
        <w:rPr>
          <w:rFonts w:ascii="仿宋" w:hAnsi="仿宋" w:eastAsia="仿宋"/>
          <w:sz w:val="28"/>
          <w:szCs w:val="28"/>
        </w:rPr>
        <w:t>完善</w:t>
      </w:r>
      <w:r>
        <w:rPr>
          <w:rFonts w:hint="eastAsia" w:ascii="仿宋" w:hAnsi="仿宋" w:eastAsia="仿宋"/>
          <w:sz w:val="28"/>
          <w:szCs w:val="28"/>
        </w:rPr>
        <w:t>全校各专业</w:t>
      </w:r>
      <w:r>
        <w:rPr>
          <w:rFonts w:ascii="仿宋" w:hAnsi="仿宋" w:eastAsia="仿宋"/>
          <w:sz w:val="28"/>
          <w:szCs w:val="28"/>
        </w:rPr>
        <w:t>人才培养方案</w:t>
      </w:r>
      <w:r>
        <w:rPr>
          <w:rFonts w:hint="eastAsia" w:ascii="仿宋" w:hAnsi="仿宋" w:eastAsia="仿宋"/>
          <w:sz w:val="28"/>
          <w:szCs w:val="28"/>
        </w:rPr>
        <w:t>，将应用创新型人才思想政治核心素养32要点和未来工程师ASciT9大关键能力融入专业建设</w:t>
      </w:r>
      <w:r>
        <w:rPr>
          <w:rFonts w:ascii="仿宋" w:hAnsi="仿宋" w:eastAsia="仿宋"/>
          <w:sz w:val="28"/>
          <w:szCs w:val="28"/>
        </w:rPr>
        <w:t>、课程教学和实践</w:t>
      </w:r>
      <w:r>
        <w:rPr>
          <w:rFonts w:hint="eastAsia" w:ascii="仿宋" w:hAnsi="仿宋" w:eastAsia="仿宋"/>
          <w:sz w:val="28"/>
          <w:szCs w:val="28"/>
        </w:rPr>
        <w:t>锻炼</w:t>
      </w:r>
      <w:r>
        <w:rPr>
          <w:rFonts w:ascii="仿宋" w:hAnsi="仿宋" w:eastAsia="仿宋"/>
          <w:sz w:val="28"/>
          <w:szCs w:val="28"/>
        </w:rPr>
        <w:t>等各个环节。</w:t>
      </w:r>
    </w:p>
    <w:p>
      <w:pPr>
        <w:spacing w:line="360" w:lineRule="auto"/>
        <w:ind w:firstLine="537" w:firstLineChars="192"/>
        <w:rPr>
          <w:rFonts w:ascii="仿宋" w:hAnsi="仿宋" w:eastAsia="仿宋"/>
          <w:sz w:val="28"/>
          <w:szCs w:val="28"/>
        </w:rPr>
      </w:pPr>
      <w:r>
        <w:rPr>
          <w:rFonts w:hint="eastAsia" w:ascii="仿宋" w:hAnsi="仿宋" w:eastAsia="仿宋"/>
          <w:sz w:val="28"/>
          <w:szCs w:val="28"/>
        </w:rPr>
        <w:t>将</w:t>
      </w:r>
      <w:r>
        <w:rPr>
          <w:rFonts w:ascii="仿宋" w:hAnsi="仿宋" w:eastAsia="仿宋"/>
          <w:sz w:val="28"/>
          <w:szCs w:val="28"/>
        </w:rPr>
        <w:t>课程思政</w:t>
      </w:r>
      <w:r>
        <w:rPr>
          <w:rFonts w:hint="eastAsia" w:ascii="仿宋" w:hAnsi="仿宋" w:eastAsia="仿宋"/>
          <w:sz w:val="28"/>
          <w:szCs w:val="28"/>
        </w:rPr>
        <w:t>建设</w:t>
      </w:r>
      <w:r>
        <w:rPr>
          <w:rFonts w:ascii="仿宋" w:hAnsi="仿宋" w:eastAsia="仿宋"/>
          <w:sz w:val="28"/>
          <w:szCs w:val="28"/>
        </w:rPr>
        <w:t>与一流专业、一流课程</w:t>
      </w:r>
      <w:r>
        <w:rPr>
          <w:rFonts w:hint="eastAsia" w:ascii="仿宋" w:hAnsi="仿宋" w:eastAsia="仿宋"/>
          <w:sz w:val="28"/>
          <w:szCs w:val="28"/>
        </w:rPr>
        <w:t>建设密切</w:t>
      </w:r>
      <w:r>
        <w:rPr>
          <w:rFonts w:ascii="仿宋" w:hAnsi="仿宋" w:eastAsia="仿宋"/>
          <w:sz w:val="28"/>
          <w:szCs w:val="28"/>
        </w:rPr>
        <w:t>结合</w:t>
      </w:r>
      <w:r>
        <w:rPr>
          <w:rFonts w:hint="eastAsia" w:ascii="仿宋" w:hAnsi="仿宋" w:eastAsia="仿宋"/>
          <w:sz w:val="28"/>
          <w:szCs w:val="28"/>
        </w:rPr>
        <w:t>，做好顶层设计、强化系统推进。围绕香料香精化妆品和绿色化工、功能材料和智能制造、设计文创与创新管理三大学科专业群，按照“自上而下”和</w:t>
      </w:r>
      <w:r>
        <w:rPr>
          <w:rFonts w:ascii="仿宋" w:hAnsi="仿宋" w:eastAsia="仿宋"/>
          <w:sz w:val="28"/>
          <w:szCs w:val="28"/>
        </w:rPr>
        <w:t>“</w:t>
      </w:r>
      <w:r>
        <w:rPr>
          <w:rFonts w:hint="eastAsia" w:ascii="仿宋" w:hAnsi="仿宋" w:eastAsia="仿宋"/>
          <w:sz w:val="28"/>
          <w:szCs w:val="28"/>
        </w:rPr>
        <w:t>自下而上</w:t>
      </w:r>
      <w:r>
        <w:rPr>
          <w:rFonts w:ascii="仿宋" w:hAnsi="仿宋" w:eastAsia="仿宋"/>
          <w:sz w:val="28"/>
          <w:szCs w:val="28"/>
        </w:rPr>
        <w:t>”</w:t>
      </w:r>
      <w:r>
        <w:rPr>
          <w:rFonts w:hint="eastAsia" w:ascii="仿宋" w:hAnsi="仿宋" w:eastAsia="仿宋"/>
          <w:sz w:val="28"/>
          <w:szCs w:val="28"/>
        </w:rPr>
        <w:t>两条</w:t>
      </w:r>
      <w:r>
        <w:rPr>
          <w:rFonts w:ascii="仿宋" w:hAnsi="仿宋" w:eastAsia="仿宋"/>
          <w:sz w:val="28"/>
          <w:szCs w:val="28"/>
        </w:rPr>
        <w:t>路径研制</w:t>
      </w:r>
      <w:r>
        <w:rPr>
          <w:rFonts w:hint="eastAsia" w:ascii="仿宋" w:hAnsi="仿宋" w:eastAsia="仿宋"/>
          <w:sz w:val="28"/>
          <w:szCs w:val="28"/>
        </w:rPr>
        <w:t>7大</w:t>
      </w:r>
      <w:r>
        <w:rPr>
          <w:rFonts w:ascii="仿宋" w:hAnsi="仿宋" w:eastAsia="仿宋"/>
          <w:sz w:val="28"/>
          <w:szCs w:val="28"/>
        </w:rPr>
        <w:t>专业类</w:t>
      </w:r>
      <w:r>
        <w:rPr>
          <w:rFonts w:hint="eastAsia" w:ascii="仿宋" w:hAnsi="仿宋" w:eastAsia="仿宋"/>
          <w:sz w:val="28"/>
          <w:szCs w:val="28"/>
        </w:rPr>
        <w:t>的</w:t>
      </w:r>
      <w:r>
        <w:rPr>
          <w:rFonts w:ascii="仿宋" w:hAnsi="仿宋" w:eastAsia="仿宋"/>
          <w:sz w:val="28"/>
          <w:szCs w:val="28"/>
        </w:rPr>
        <w:t>课程思政教学指南、操作规范和</w:t>
      </w:r>
      <w:r>
        <w:rPr>
          <w:rFonts w:hint="eastAsia" w:ascii="仿宋" w:hAnsi="仿宋" w:eastAsia="仿宋"/>
          <w:sz w:val="28"/>
          <w:szCs w:val="28"/>
        </w:rPr>
        <w:t>优秀</w:t>
      </w:r>
      <w:r>
        <w:rPr>
          <w:rFonts w:ascii="仿宋" w:hAnsi="仿宋" w:eastAsia="仿宋"/>
          <w:sz w:val="28"/>
          <w:szCs w:val="28"/>
        </w:rPr>
        <w:t>案例。</w:t>
      </w:r>
      <w:r>
        <w:rPr>
          <w:rFonts w:hint="eastAsia" w:ascii="仿宋" w:hAnsi="仿宋" w:eastAsia="仿宋"/>
          <w:sz w:val="28"/>
          <w:szCs w:val="28"/>
        </w:rPr>
        <w:t>分类做好</w:t>
      </w:r>
      <w:r>
        <w:rPr>
          <w:rFonts w:ascii="仿宋" w:hAnsi="仿宋" w:eastAsia="仿宋"/>
          <w:sz w:val="28"/>
          <w:szCs w:val="28"/>
        </w:rPr>
        <w:t>公共基础课程、专业课程和实践类课程的</w:t>
      </w:r>
      <w:r>
        <w:rPr>
          <w:rFonts w:hint="eastAsia" w:ascii="仿宋" w:hAnsi="仿宋" w:eastAsia="仿宋"/>
          <w:sz w:val="28"/>
          <w:szCs w:val="28"/>
        </w:rPr>
        <w:t>课程思政建设</w:t>
      </w:r>
      <w:r>
        <w:rPr>
          <w:rFonts w:ascii="仿宋" w:hAnsi="仿宋" w:eastAsia="仿宋"/>
          <w:sz w:val="28"/>
          <w:szCs w:val="28"/>
        </w:rPr>
        <w:t>，</w:t>
      </w:r>
      <w:r>
        <w:rPr>
          <w:rFonts w:hint="eastAsia" w:ascii="仿宋" w:hAnsi="仿宋" w:eastAsia="仿宋"/>
          <w:sz w:val="28"/>
          <w:szCs w:val="28"/>
        </w:rPr>
        <w:t>基于</w:t>
      </w:r>
      <w:r>
        <w:rPr>
          <w:rFonts w:ascii="仿宋" w:hAnsi="仿宋" w:eastAsia="仿宋"/>
          <w:sz w:val="28"/>
          <w:szCs w:val="28"/>
        </w:rPr>
        <w:t>不同课程类型</w:t>
      </w:r>
      <w:r>
        <w:rPr>
          <w:rFonts w:hint="eastAsia" w:ascii="仿宋" w:hAnsi="仿宋" w:eastAsia="仿宋"/>
          <w:sz w:val="28"/>
          <w:szCs w:val="28"/>
        </w:rPr>
        <w:t>细化</w:t>
      </w:r>
      <w:r>
        <w:rPr>
          <w:rFonts w:ascii="仿宋" w:hAnsi="仿宋" w:eastAsia="仿宋"/>
          <w:sz w:val="28"/>
          <w:szCs w:val="28"/>
        </w:rPr>
        <w:t>建设</w:t>
      </w:r>
      <w:r>
        <w:rPr>
          <w:rFonts w:hint="eastAsia" w:ascii="仿宋" w:hAnsi="仿宋" w:eastAsia="仿宋"/>
          <w:sz w:val="28"/>
          <w:szCs w:val="28"/>
        </w:rPr>
        <w:t>重点</w:t>
      </w:r>
      <w:r>
        <w:rPr>
          <w:rFonts w:ascii="仿宋" w:hAnsi="仿宋" w:eastAsia="仿宋"/>
          <w:sz w:val="28"/>
          <w:szCs w:val="28"/>
        </w:rPr>
        <w:t>和</w:t>
      </w:r>
      <w:r>
        <w:rPr>
          <w:rFonts w:hint="eastAsia" w:ascii="仿宋" w:hAnsi="仿宋" w:eastAsia="仿宋"/>
          <w:sz w:val="28"/>
          <w:szCs w:val="28"/>
        </w:rPr>
        <w:t>具体</w:t>
      </w:r>
      <w:r>
        <w:rPr>
          <w:rFonts w:ascii="仿宋" w:hAnsi="仿宋" w:eastAsia="仿宋"/>
          <w:sz w:val="28"/>
          <w:szCs w:val="28"/>
        </w:rPr>
        <w:t>举措，</w:t>
      </w:r>
      <w:r>
        <w:rPr>
          <w:rFonts w:hint="eastAsia" w:ascii="仿宋" w:hAnsi="仿宋" w:eastAsia="仿宋"/>
          <w:sz w:val="28"/>
          <w:szCs w:val="28"/>
        </w:rPr>
        <w:t>实现思政链与课程链的对接，实现</w:t>
      </w:r>
      <w:r>
        <w:rPr>
          <w:rFonts w:ascii="仿宋" w:hAnsi="仿宋" w:eastAsia="仿宋"/>
          <w:sz w:val="28"/>
          <w:szCs w:val="28"/>
        </w:rPr>
        <w:t>课程思政</w:t>
      </w:r>
      <w:r>
        <w:rPr>
          <w:rFonts w:hint="eastAsia" w:ascii="仿宋" w:hAnsi="仿宋" w:eastAsia="仿宋"/>
          <w:sz w:val="28"/>
          <w:szCs w:val="28"/>
        </w:rPr>
        <w:t>与</w:t>
      </w:r>
      <w:r>
        <w:rPr>
          <w:rFonts w:ascii="仿宋" w:hAnsi="仿宋" w:eastAsia="仿宋"/>
          <w:sz w:val="28"/>
          <w:szCs w:val="28"/>
        </w:rPr>
        <w:t>专业思政</w:t>
      </w:r>
      <w:r>
        <w:rPr>
          <w:rFonts w:hint="eastAsia" w:ascii="仿宋" w:hAnsi="仿宋" w:eastAsia="仿宋"/>
          <w:sz w:val="28"/>
          <w:szCs w:val="28"/>
        </w:rPr>
        <w:t>、学科思政的统筹</w:t>
      </w:r>
      <w:r>
        <w:rPr>
          <w:rFonts w:ascii="仿宋" w:hAnsi="仿宋" w:eastAsia="仿宋"/>
          <w:sz w:val="28"/>
          <w:szCs w:val="28"/>
        </w:rPr>
        <w:t>。</w:t>
      </w:r>
    </w:p>
    <w:p>
      <w:pPr>
        <w:spacing w:line="360" w:lineRule="auto"/>
        <w:ind w:firstLine="540" w:firstLineChars="192"/>
        <w:rPr>
          <w:rFonts w:ascii="仿宋" w:hAnsi="仿宋" w:eastAsia="仿宋"/>
          <w:b/>
          <w:sz w:val="28"/>
          <w:szCs w:val="28"/>
        </w:rPr>
      </w:pPr>
      <w:r>
        <w:rPr>
          <w:rFonts w:hint="eastAsia" w:ascii="仿宋" w:hAnsi="仿宋" w:eastAsia="仿宋"/>
          <w:b/>
          <w:sz w:val="28"/>
          <w:szCs w:val="28"/>
        </w:rPr>
        <w:t>（二）以</w:t>
      </w:r>
      <w:r>
        <w:rPr>
          <w:rFonts w:ascii="仿宋" w:hAnsi="仿宋" w:eastAsia="仿宋"/>
          <w:b/>
          <w:sz w:val="28"/>
          <w:szCs w:val="28"/>
        </w:rPr>
        <w:t>创新课程教学设计</w:t>
      </w:r>
      <w:r>
        <w:rPr>
          <w:rFonts w:hint="eastAsia" w:ascii="仿宋" w:hAnsi="仿宋" w:eastAsia="仿宋"/>
          <w:b/>
          <w:sz w:val="28"/>
          <w:szCs w:val="28"/>
        </w:rPr>
        <w:t>实现</w:t>
      </w:r>
      <w:r>
        <w:rPr>
          <w:rFonts w:ascii="仿宋" w:hAnsi="仿宋" w:eastAsia="仿宋"/>
          <w:b/>
          <w:sz w:val="28"/>
          <w:szCs w:val="28"/>
        </w:rPr>
        <w:t>思政元素的有效融入</w:t>
      </w:r>
    </w:p>
    <w:p>
      <w:pPr>
        <w:spacing w:line="360" w:lineRule="auto"/>
        <w:ind w:firstLine="537" w:firstLineChars="192"/>
        <w:rPr>
          <w:rFonts w:ascii="仿宋" w:hAnsi="仿宋" w:eastAsia="仿宋"/>
          <w:sz w:val="28"/>
          <w:szCs w:val="28"/>
        </w:rPr>
      </w:pPr>
      <w:r>
        <w:rPr>
          <w:rFonts w:hint="eastAsia" w:ascii="仿宋" w:hAnsi="仿宋" w:eastAsia="仿宋"/>
          <w:sz w:val="28"/>
          <w:szCs w:val="28"/>
        </w:rPr>
        <w:t>以“荣誉课程—示范课程—重点课程”三级体系建设为抓手，建强一批</w:t>
      </w:r>
      <w:r>
        <w:rPr>
          <w:rFonts w:ascii="仿宋" w:hAnsi="仿宋" w:eastAsia="仿宋"/>
          <w:sz w:val="28"/>
          <w:szCs w:val="28"/>
        </w:rPr>
        <w:t>领航课程</w:t>
      </w:r>
      <w:r>
        <w:rPr>
          <w:rFonts w:hint="eastAsia" w:ascii="仿宋" w:hAnsi="仿宋" w:eastAsia="仿宋"/>
          <w:sz w:val="28"/>
          <w:szCs w:val="28"/>
        </w:rPr>
        <w:t>。紧扣“三位一体、三问致新、三维出彩”的要求创新课程教学设计，打造示范课堂，实现领航课程占全校课程总数的20%。</w:t>
      </w:r>
    </w:p>
    <w:p>
      <w:pPr>
        <w:spacing w:line="360" w:lineRule="auto"/>
        <w:ind w:firstLine="537" w:firstLineChars="192"/>
        <w:rPr>
          <w:rFonts w:ascii="仿宋" w:hAnsi="仿宋" w:eastAsia="仿宋"/>
          <w:sz w:val="28"/>
          <w:szCs w:val="28"/>
        </w:rPr>
      </w:pPr>
      <w:r>
        <w:rPr>
          <w:rFonts w:hint="eastAsia" w:ascii="仿宋" w:hAnsi="仿宋" w:eastAsia="仿宋"/>
          <w:sz w:val="28"/>
          <w:szCs w:val="28"/>
        </w:rPr>
        <w:t>强化</w:t>
      </w:r>
      <w:r>
        <w:rPr>
          <w:rFonts w:ascii="仿宋" w:hAnsi="仿宋" w:eastAsia="仿宋"/>
          <w:sz w:val="28"/>
          <w:szCs w:val="28"/>
        </w:rPr>
        <w:t>课程思政</w:t>
      </w:r>
      <w:r>
        <w:rPr>
          <w:rFonts w:hint="eastAsia" w:ascii="仿宋" w:hAnsi="仿宋" w:eastAsia="仿宋"/>
          <w:sz w:val="28"/>
          <w:szCs w:val="28"/>
        </w:rPr>
        <w:t>赋能</w:t>
      </w:r>
      <w:r>
        <w:rPr>
          <w:rFonts w:ascii="仿宋" w:hAnsi="仿宋" w:eastAsia="仿宋"/>
          <w:sz w:val="28"/>
          <w:szCs w:val="28"/>
        </w:rPr>
        <w:t>“金课”</w:t>
      </w:r>
      <w:r>
        <w:rPr>
          <w:rFonts w:hint="eastAsia" w:ascii="仿宋" w:hAnsi="仿宋" w:eastAsia="仿宋"/>
          <w:sz w:val="28"/>
          <w:szCs w:val="28"/>
        </w:rPr>
        <w:t>建设</w:t>
      </w:r>
      <w:r>
        <w:rPr>
          <w:rFonts w:ascii="仿宋" w:hAnsi="仿宋" w:eastAsia="仿宋"/>
          <w:sz w:val="28"/>
          <w:szCs w:val="28"/>
        </w:rPr>
        <w:t>的原则，</w:t>
      </w:r>
      <w:r>
        <w:rPr>
          <w:rFonts w:hint="eastAsia" w:ascii="仿宋" w:hAnsi="仿宋" w:eastAsia="仿宋"/>
          <w:sz w:val="28"/>
          <w:szCs w:val="28"/>
        </w:rPr>
        <w:t>一体化</w:t>
      </w:r>
      <w:r>
        <w:rPr>
          <w:rFonts w:ascii="仿宋" w:hAnsi="仿宋" w:eastAsia="仿宋"/>
          <w:sz w:val="28"/>
          <w:szCs w:val="28"/>
        </w:rPr>
        <w:t>推进课程思政改革和</w:t>
      </w:r>
      <w:r>
        <w:rPr>
          <w:rFonts w:hint="eastAsia" w:ascii="仿宋" w:hAnsi="仿宋" w:eastAsia="仿宋"/>
          <w:sz w:val="28"/>
          <w:szCs w:val="28"/>
        </w:rPr>
        <w:t>市级</w:t>
      </w:r>
      <w:r>
        <w:rPr>
          <w:rFonts w:ascii="仿宋" w:hAnsi="仿宋" w:eastAsia="仿宋"/>
          <w:sz w:val="28"/>
          <w:szCs w:val="28"/>
        </w:rPr>
        <w:t>及以上重点课程、一流课程</w:t>
      </w:r>
      <w:r>
        <w:rPr>
          <w:rFonts w:hint="eastAsia" w:ascii="仿宋" w:hAnsi="仿宋" w:eastAsia="仿宋"/>
          <w:sz w:val="28"/>
          <w:szCs w:val="28"/>
        </w:rPr>
        <w:t>建设。进一步</w:t>
      </w:r>
      <w:r>
        <w:rPr>
          <w:rFonts w:ascii="仿宋" w:hAnsi="仿宋" w:eastAsia="仿宋"/>
          <w:sz w:val="28"/>
          <w:szCs w:val="28"/>
        </w:rPr>
        <w:t>推进</w:t>
      </w:r>
      <w:r>
        <w:rPr>
          <w:rFonts w:hint="eastAsia" w:ascii="仿宋" w:hAnsi="仿宋" w:eastAsia="仿宋"/>
          <w:sz w:val="28"/>
          <w:szCs w:val="28"/>
        </w:rPr>
        <w:t>信息技术</w:t>
      </w:r>
      <w:r>
        <w:rPr>
          <w:rFonts w:ascii="仿宋" w:hAnsi="仿宋" w:eastAsia="仿宋"/>
          <w:sz w:val="28"/>
          <w:szCs w:val="28"/>
        </w:rPr>
        <w:t>与课程</w:t>
      </w:r>
      <w:r>
        <w:rPr>
          <w:rFonts w:hint="eastAsia" w:ascii="仿宋" w:hAnsi="仿宋" w:eastAsia="仿宋"/>
          <w:sz w:val="28"/>
          <w:szCs w:val="28"/>
        </w:rPr>
        <w:t>教学</w:t>
      </w:r>
      <w:r>
        <w:rPr>
          <w:rFonts w:ascii="仿宋" w:hAnsi="仿宋" w:eastAsia="仿宋"/>
          <w:sz w:val="28"/>
          <w:szCs w:val="28"/>
        </w:rPr>
        <w:t>的融合，建设课程思政线上</w:t>
      </w:r>
      <w:r>
        <w:rPr>
          <w:rFonts w:hint="eastAsia" w:ascii="仿宋" w:hAnsi="仿宋" w:eastAsia="仿宋"/>
          <w:sz w:val="28"/>
          <w:szCs w:val="28"/>
        </w:rPr>
        <w:t>资源库</w:t>
      </w:r>
      <w:r>
        <w:rPr>
          <w:rFonts w:ascii="仿宋" w:hAnsi="仿宋" w:eastAsia="仿宋"/>
          <w:sz w:val="28"/>
          <w:szCs w:val="28"/>
        </w:rPr>
        <w:t>和</w:t>
      </w:r>
      <w:r>
        <w:rPr>
          <w:rFonts w:hint="eastAsia" w:ascii="仿宋" w:hAnsi="仿宋" w:eastAsia="仿宋"/>
          <w:sz w:val="28"/>
          <w:szCs w:val="28"/>
        </w:rPr>
        <w:t>交流</w:t>
      </w:r>
      <w:r>
        <w:rPr>
          <w:rFonts w:ascii="仿宋" w:hAnsi="仿宋" w:eastAsia="仿宋"/>
          <w:sz w:val="28"/>
          <w:szCs w:val="28"/>
        </w:rPr>
        <w:t>、展示平台</w:t>
      </w:r>
      <w:r>
        <w:rPr>
          <w:rFonts w:hint="eastAsia" w:ascii="仿宋" w:hAnsi="仿宋" w:eastAsia="仿宋"/>
          <w:sz w:val="28"/>
          <w:szCs w:val="28"/>
        </w:rPr>
        <w:t>，扩大课程思政所示范课程的示范性和影响力</w:t>
      </w:r>
      <w:r>
        <w:rPr>
          <w:rFonts w:ascii="仿宋" w:hAnsi="仿宋" w:eastAsia="仿宋"/>
          <w:sz w:val="28"/>
          <w:szCs w:val="28"/>
        </w:rPr>
        <w:t>。</w:t>
      </w:r>
      <w:r>
        <w:rPr>
          <w:rFonts w:hint="eastAsia" w:ascii="仿宋" w:hAnsi="仿宋" w:eastAsia="仿宋"/>
          <w:sz w:val="28"/>
          <w:szCs w:val="28"/>
        </w:rPr>
        <w:t>“十四五”期间</w:t>
      </w:r>
      <w:r>
        <w:rPr>
          <w:rFonts w:ascii="仿宋" w:hAnsi="仿宋" w:eastAsia="仿宋"/>
          <w:sz w:val="28"/>
          <w:szCs w:val="28"/>
        </w:rPr>
        <w:t>，课程思政领航课程获批市级及以上重点课程、一流课程</w:t>
      </w:r>
      <w:r>
        <w:rPr>
          <w:rFonts w:hint="eastAsia" w:ascii="仿宋" w:hAnsi="仿宋" w:eastAsia="仿宋"/>
          <w:sz w:val="28"/>
          <w:szCs w:val="28"/>
        </w:rPr>
        <w:t>的</w:t>
      </w:r>
      <w:r>
        <w:rPr>
          <w:rFonts w:ascii="仿宋" w:hAnsi="仿宋" w:eastAsia="仿宋"/>
          <w:sz w:val="28"/>
          <w:szCs w:val="28"/>
        </w:rPr>
        <w:t>数量达到</w:t>
      </w:r>
      <w:r>
        <w:rPr>
          <w:rFonts w:hint="eastAsia" w:ascii="仿宋" w:hAnsi="仿宋" w:eastAsia="仿宋"/>
          <w:sz w:val="28"/>
          <w:szCs w:val="28"/>
        </w:rPr>
        <w:t>40门左右</w:t>
      </w:r>
      <w:r>
        <w:rPr>
          <w:rFonts w:ascii="仿宋" w:hAnsi="仿宋" w:eastAsia="仿宋"/>
          <w:sz w:val="28"/>
          <w:szCs w:val="28"/>
        </w:rPr>
        <w:t>。</w:t>
      </w:r>
    </w:p>
    <w:p>
      <w:pPr>
        <w:spacing w:line="360" w:lineRule="auto"/>
        <w:ind w:firstLine="537" w:firstLineChars="192"/>
        <w:rPr>
          <w:rFonts w:ascii="仿宋" w:hAnsi="仿宋" w:eastAsia="仿宋"/>
          <w:sz w:val="28"/>
          <w:szCs w:val="28"/>
        </w:rPr>
      </w:pPr>
      <w:r>
        <w:rPr>
          <w:rFonts w:hint="eastAsia" w:ascii="仿宋" w:hAnsi="仿宋" w:eastAsia="仿宋"/>
          <w:sz w:val="28"/>
          <w:szCs w:val="28"/>
        </w:rPr>
        <w:t>以研究生应用创新能力和综合素养培育为导向，统筹</w:t>
      </w:r>
      <w:r>
        <w:rPr>
          <w:rFonts w:ascii="仿宋" w:hAnsi="仿宋" w:eastAsia="仿宋"/>
          <w:sz w:val="28"/>
          <w:szCs w:val="28"/>
        </w:rPr>
        <w:t>推进研究生课程思政建设</w:t>
      </w:r>
      <w:r>
        <w:rPr>
          <w:rFonts w:hint="eastAsia" w:ascii="仿宋" w:hAnsi="仿宋" w:eastAsia="仿宋"/>
          <w:sz w:val="28"/>
          <w:szCs w:val="28"/>
        </w:rPr>
        <w:t>。围绕研究生教育特点设置课程模块，遵循科研育人驱动规律，推进科研活动的渗透感染与体验强化。明确导师作为研究生培养第一责任人的以身示范、情境暗示和价值引导职责，推动导师与学生的学术共同体构建，进一步将课程思政建设作为研究生导师聘任和评价的重要指标。</w:t>
      </w:r>
    </w:p>
    <w:p>
      <w:pPr>
        <w:spacing w:line="360" w:lineRule="auto"/>
        <w:ind w:firstLine="540" w:firstLineChars="192"/>
        <w:rPr>
          <w:rFonts w:ascii="仿宋" w:hAnsi="仿宋" w:eastAsia="仿宋"/>
          <w:b/>
          <w:sz w:val="28"/>
          <w:szCs w:val="28"/>
        </w:rPr>
      </w:pPr>
      <w:r>
        <w:rPr>
          <w:rFonts w:hint="eastAsia" w:ascii="仿宋" w:hAnsi="仿宋" w:eastAsia="仿宋"/>
          <w:b/>
          <w:sz w:val="28"/>
          <w:szCs w:val="28"/>
        </w:rPr>
        <w:t>（三）以完善课程</w:t>
      </w:r>
      <w:r>
        <w:rPr>
          <w:rFonts w:ascii="仿宋" w:hAnsi="仿宋" w:eastAsia="仿宋"/>
          <w:b/>
          <w:sz w:val="28"/>
          <w:szCs w:val="28"/>
        </w:rPr>
        <w:t>教学管理</w:t>
      </w:r>
      <w:r>
        <w:rPr>
          <w:rFonts w:hint="eastAsia" w:ascii="仿宋" w:hAnsi="仿宋" w:eastAsia="仿宋"/>
          <w:b/>
          <w:sz w:val="28"/>
          <w:szCs w:val="28"/>
        </w:rPr>
        <w:t>确保</w:t>
      </w:r>
      <w:r>
        <w:rPr>
          <w:rFonts w:ascii="仿宋" w:hAnsi="仿宋" w:eastAsia="仿宋"/>
          <w:b/>
          <w:sz w:val="28"/>
          <w:szCs w:val="28"/>
        </w:rPr>
        <w:t>课程思政持续改进</w:t>
      </w:r>
    </w:p>
    <w:p>
      <w:pPr>
        <w:spacing w:line="360" w:lineRule="auto"/>
        <w:ind w:firstLine="537" w:firstLineChars="192"/>
        <w:rPr>
          <w:rFonts w:ascii="仿宋" w:hAnsi="仿宋" w:eastAsia="仿宋"/>
          <w:sz w:val="28"/>
          <w:szCs w:val="28"/>
        </w:rPr>
      </w:pPr>
      <w:r>
        <w:rPr>
          <w:rFonts w:hint="eastAsia" w:ascii="仿宋" w:hAnsi="仿宋" w:eastAsia="仿宋"/>
          <w:sz w:val="28"/>
          <w:szCs w:val="28"/>
        </w:rPr>
        <w:t>以</w:t>
      </w:r>
      <w:r>
        <w:rPr>
          <w:rFonts w:ascii="仿宋" w:hAnsi="仿宋" w:eastAsia="仿宋"/>
          <w:sz w:val="28"/>
          <w:szCs w:val="28"/>
        </w:rPr>
        <w:t>构建专业内部</w:t>
      </w:r>
      <w:r>
        <w:rPr>
          <w:rFonts w:hint="eastAsia" w:ascii="仿宋" w:hAnsi="仿宋" w:eastAsia="仿宋"/>
          <w:sz w:val="28"/>
          <w:szCs w:val="28"/>
        </w:rPr>
        <w:t>质量评价</w:t>
      </w:r>
      <w:r>
        <w:rPr>
          <w:rFonts w:ascii="仿宋" w:hAnsi="仿宋" w:eastAsia="仿宋"/>
          <w:sz w:val="28"/>
          <w:szCs w:val="28"/>
        </w:rPr>
        <w:t>机制为抓手，</w:t>
      </w:r>
      <w:r>
        <w:rPr>
          <w:rFonts w:hint="eastAsia" w:ascii="仿宋" w:hAnsi="仿宋" w:eastAsia="仿宋"/>
          <w:sz w:val="28"/>
          <w:szCs w:val="28"/>
        </w:rPr>
        <w:t>按照</w:t>
      </w:r>
      <w:r>
        <w:rPr>
          <w:rFonts w:ascii="仿宋" w:hAnsi="仿宋" w:eastAsia="仿宋"/>
          <w:sz w:val="28"/>
          <w:szCs w:val="28"/>
        </w:rPr>
        <w:t>课程思政</w:t>
      </w:r>
      <w:r>
        <w:rPr>
          <w:rFonts w:hint="eastAsia" w:ascii="仿宋" w:hAnsi="仿宋" w:eastAsia="仿宋"/>
          <w:sz w:val="28"/>
          <w:szCs w:val="28"/>
        </w:rPr>
        <w:t>教育教学规律</w:t>
      </w:r>
      <w:r>
        <w:rPr>
          <w:rFonts w:ascii="仿宋" w:hAnsi="仿宋" w:eastAsia="仿宋"/>
          <w:sz w:val="28"/>
          <w:szCs w:val="28"/>
        </w:rPr>
        <w:t>完善主要教学环节的</w:t>
      </w:r>
      <w:r>
        <w:rPr>
          <w:rFonts w:hint="eastAsia" w:ascii="仿宋" w:hAnsi="仿宋" w:eastAsia="仿宋"/>
          <w:sz w:val="28"/>
          <w:szCs w:val="28"/>
        </w:rPr>
        <w:t>质量</w:t>
      </w:r>
      <w:r>
        <w:rPr>
          <w:rFonts w:ascii="仿宋" w:hAnsi="仿宋" w:eastAsia="仿宋"/>
          <w:sz w:val="28"/>
          <w:szCs w:val="28"/>
        </w:rPr>
        <w:t>标准体系，</w:t>
      </w:r>
      <w:r>
        <w:rPr>
          <w:rFonts w:hint="eastAsia" w:ascii="仿宋" w:hAnsi="仿宋" w:eastAsia="仿宋"/>
          <w:sz w:val="28"/>
          <w:szCs w:val="28"/>
        </w:rPr>
        <w:t>并落实</w:t>
      </w:r>
      <w:r>
        <w:rPr>
          <w:rFonts w:ascii="仿宋" w:hAnsi="仿宋" w:eastAsia="仿宋"/>
          <w:sz w:val="28"/>
          <w:szCs w:val="28"/>
        </w:rPr>
        <w:t>到专业建设、人才培养方案、课程教学大纲和课程考核等工作中</w:t>
      </w:r>
      <w:r>
        <w:rPr>
          <w:rFonts w:hint="eastAsia" w:ascii="仿宋" w:hAnsi="仿宋" w:eastAsia="仿宋"/>
          <w:sz w:val="28"/>
          <w:szCs w:val="28"/>
        </w:rPr>
        <w:t>。进一步</w:t>
      </w:r>
      <w:r>
        <w:rPr>
          <w:rFonts w:ascii="仿宋" w:hAnsi="仿宋" w:eastAsia="仿宋"/>
          <w:sz w:val="28"/>
          <w:szCs w:val="28"/>
        </w:rPr>
        <w:t>明确课程思政在</w:t>
      </w:r>
      <w:r>
        <w:rPr>
          <w:rFonts w:hint="eastAsia" w:ascii="仿宋" w:hAnsi="仿宋" w:eastAsia="仿宋"/>
          <w:sz w:val="28"/>
          <w:szCs w:val="28"/>
        </w:rPr>
        <w:t>人才培养</w:t>
      </w:r>
      <w:r>
        <w:rPr>
          <w:rFonts w:ascii="仿宋" w:hAnsi="仿宋" w:eastAsia="仿宋"/>
          <w:sz w:val="28"/>
          <w:szCs w:val="28"/>
        </w:rPr>
        <w:t>各环节中的逻辑关系和相互</w:t>
      </w:r>
      <w:r>
        <w:rPr>
          <w:rFonts w:hint="eastAsia" w:ascii="仿宋" w:hAnsi="仿宋" w:eastAsia="仿宋"/>
          <w:sz w:val="28"/>
          <w:szCs w:val="28"/>
        </w:rPr>
        <w:t>映称，明确</w:t>
      </w:r>
      <w:r>
        <w:rPr>
          <w:rFonts w:ascii="仿宋" w:hAnsi="仿宋" w:eastAsia="仿宋"/>
          <w:sz w:val="28"/>
          <w:szCs w:val="28"/>
        </w:rPr>
        <w:t>学校、学院和基层</w:t>
      </w:r>
      <w:r>
        <w:rPr>
          <w:rFonts w:hint="eastAsia" w:ascii="仿宋" w:hAnsi="仿宋" w:eastAsia="仿宋"/>
          <w:sz w:val="28"/>
          <w:szCs w:val="28"/>
        </w:rPr>
        <w:t>各类</w:t>
      </w:r>
      <w:r>
        <w:rPr>
          <w:rFonts w:ascii="仿宋" w:hAnsi="仿宋" w:eastAsia="仿宋"/>
          <w:sz w:val="28"/>
          <w:szCs w:val="28"/>
        </w:rPr>
        <w:t>组织</w:t>
      </w:r>
      <w:r>
        <w:rPr>
          <w:rFonts w:hint="eastAsia" w:ascii="仿宋" w:hAnsi="仿宋" w:eastAsia="仿宋"/>
          <w:sz w:val="28"/>
          <w:szCs w:val="28"/>
        </w:rPr>
        <w:t>在</w:t>
      </w:r>
      <w:r>
        <w:rPr>
          <w:rFonts w:ascii="仿宋" w:hAnsi="仿宋" w:eastAsia="仿宋"/>
          <w:sz w:val="28"/>
          <w:szCs w:val="28"/>
        </w:rPr>
        <w:t>课程思政</w:t>
      </w:r>
      <w:r>
        <w:rPr>
          <w:rFonts w:hint="eastAsia" w:ascii="仿宋" w:hAnsi="仿宋" w:eastAsia="仿宋"/>
          <w:sz w:val="28"/>
          <w:szCs w:val="28"/>
        </w:rPr>
        <w:t>中</w:t>
      </w:r>
      <w:r>
        <w:rPr>
          <w:rFonts w:ascii="仿宋" w:hAnsi="仿宋" w:eastAsia="仿宋"/>
          <w:sz w:val="28"/>
          <w:szCs w:val="28"/>
        </w:rPr>
        <w:t>的职责，</w:t>
      </w:r>
      <w:r>
        <w:rPr>
          <w:rFonts w:hint="eastAsia" w:ascii="仿宋" w:hAnsi="仿宋" w:eastAsia="仿宋"/>
          <w:sz w:val="28"/>
          <w:szCs w:val="28"/>
        </w:rPr>
        <w:t>构建</w:t>
      </w:r>
      <w:r>
        <w:rPr>
          <w:rFonts w:ascii="仿宋" w:hAnsi="仿宋" w:eastAsia="仿宋"/>
          <w:sz w:val="28"/>
          <w:szCs w:val="28"/>
        </w:rPr>
        <w:t>课程思政全流程质量保障体系</w:t>
      </w:r>
      <w:r>
        <w:rPr>
          <w:rFonts w:hint="eastAsia" w:ascii="仿宋" w:hAnsi="仿宋" w:eastAsia="仿宋"/>
          <w:sz w:val="28"/>
          <w:szCs w:val="28"/>
        </w:rPr>
        <w:t>。</w:t>
      </w:r>
    </w:p>
    <w:p>
      <w:pPr>
        <w:spacing w:line="360" w:lineRule="auto"/>
        <w:ind w:firstLine="537" w:firstLineChars="192"/>
        <w:rPr>
          <w:rFonts w:ascii="仿宋" w:hAnsi="仿宋" w:eastAsia="仿宋"/>
          <w:color w:val="000000" w:themeColor="text1"/>
          <w:sz w:val="28"/>
          <w:szCs w:val="28"/>
          <w14:textFill>
            <w14:solidFill>
              <w14:schemeClr w14:val="tx1"/>
            </w14:solidFill>
          </w14:textFill>
        </w:rPr>
      </w:pPr>
      <w:r>
        <w:rPr>
          <w:rFonts w:hint="eastAsia" w:ascii="仿宋" w:hAnsi="仿宋" w:eastAsia="仿宋"/>
          <w:sz w:val="28"/>
          <w:szCs w:val="28"/>
        </w:rPr>
        <w:t>围绕课程思政</w:t>
      </w:r>
      <w:r>
        <w:rPr>
          <w:rFonts w:ascii="仿宋" w:hAnsi="仿宋" w:eastAsia="仿宋"/>
          <w:sz w:val="28"/>
          <w:szCs w:val="28"/>
        </w:rPr>
        <w:t>的</w:t>
      </w:r>
      <w:r>
        <w:rPr>
          <w:rFonts w:hint="eastAsia" w:ascii="仿宋" w:hAnsi="仿宋" w:eastAsia="仿宋"/>
          <w:sz w:val="28"/>
          <w:szCs w:val="28"/>
        </w:rPr>
        <w:t>要求</w:t>
      </w:r>
      <w:r>
        <w:rPr>
          <w:rFonts w:ascii="仿宋" w:hAnsi="仿宋" w:eastAsia="仿宋"/>
          <w:sz w:val="28"/>
          <w:szCs w:val="28"/>
        </w:rPr>
        <w:t>加强</w:t>
      </w:r>
      <w:r>
        <w:rPr>
          <w:rFonts w:hint="eastAsia" w:ascii="仿宋" w:hAnsi="仿宋" w:eastAsia="仿宋"/>
          <w:sz w:val="28"/>
          <w:szCs w:val="28"/>
        </w:rPr>
        <w:t>基层教学组织建设。组建</w:t>
      </w:r>
      <w:r>
        <w:rPr>
          <w:rFonts w:ascii="仿宋" w:hAnsi="仿宋" w:eastAsia="仿宋"/>
          <w:sz w:val="28"/>
          <w:szCs w:val="28"/>
        </w:rPr>
        <w:t>25</w:t>
      </w:r>
      <w:r>
        <w:rPr>
          <w:rFonts w:hint="eastAsia" w:ascii="仿宋" w:hAnsi="仿宋" w:eastAsia="仿宋"/>
          <w:sz w:val="28"/>
          <w:szCs w:val="28"/>
        </w:rPr>
        <w:t>-30个由马院教师、专业课教师、辅导员等</w:t>
      </w:r>
      <w:r>
        <w:rPr>
          <w:rFonts w:ascii="仿宋" w:hAnsi="仿宋" w:eastAsia="仿宋"/>
          <w:sz w:val="28"/>
          <w:szCs w:val="28"/>
        </w:rPr>
        <w:t>共同</w:t>
      </w:r>
      <w:r>
        <w:rPr>
          <w:rFonts w:hint="eastAsia" w:ascii="仿宋" w:hAnsi="仿宋" w:eastAsia="仿宋"/>
          <w:sz w:val="28"/>
          <w:szCs w:val="28"/>
        </w:rPr>
        <w:t>组成的</w:t>
      </w:r>
      <w:r>
        <w:rPr>
          <w:rFonts w:ascii="仿宋" w:hAnsi="仿宋" w:eastAsia="仿宋"/>
          <w:sz w:val="28"/>
          <w:szCs w:val="28"/>
        </w:rPr>
        <w:t>示范性跨学科</w:t>
      </w:r>
      <w:r>
        <w:rPr>
          <w:rFonts w:hint="eastAsia" w:ascii="仿宋" w:hAnsi="仿宋" w:eastAsia="仿宋"/>
          <w:sz w:val="28"/>
          <w:szCs w:val="28"/>
        </w:rPr>
        <w:t>课程思政</w:t>
      </w:r>
      <w:r>
        <w:rPr>
          <w:rFonts w:ascii="仿宋" w:hAnsi="仿宋" w:eastAsia="仿宋"/>
          <w:sz w:val="28"/>
          <w:szCs w:val="28"/>
        </w:rPr>
        <w:t>教学团队，</w:t>
      </w:r>
      <w:r>
        <w:rPr>
          <w:rFonts w:hint="eastAsia" w:ascii="仿宋" w:hAnsi="仿宋" w:eastAsia="仿宋"/>
          <w:sz w:val="28"/>
          <w:szCs w:val="28"/>
        </w:rPr>
        <w:t>开展</w:t>
      </w:r>
      <w:r>
        <w:rPr>
          <w:rFonts w:ascii="仿宋" w:hAnsi="仿宋" w:eastAsia="仿宋"/>
          <w:sz w:val="28"/>
          <w:szCs w:val="28"/>
        </w:rPr>
        <w:t>集体教研，</w:t>
      </w:r>
      <w:r>
        <w:rPr>
          <w:rFonts w:hint="eastAsia" w:ascii="仿宋" w:hAnsi="仿宋" w:eastAsia="仿宋"/>
          <w:sz w:val="28"/>
          <w:szCs w:val="28"/>
        </w:rPr>
        <w:t>共同</w:t>
      </w:r>
      <w:r>
        <w:rPr>
          <w:rFonts w:ascii="仿宋" w:hAnsi="仿宋" w:eastAsia="仿宋"/>
          <w:sz w:val="28"/>
          <w:szCs w:val="28"/>
        </w:rPr>
        <w:t>挖掘</w:t>
      </w:r>
      <w:r>
        <w:rPr>
          <w:rFonts w:hint="eastAsia" w:ascii="仿宋" w:hAnsi="仿宋" w:eastAsia="仿宋"/>
          <w:sz w:val="28"/>
          <w:szCs w:val="28"/>
        </w:rPr>
        <w:t>专业</w:t>
      </w:r>
      <w:r>
        <w:rPr>
          <w:rFonts w:ascii="仿宋" w:hAnsi="仿宋" w:eastAsia="仿宋"/>
          <w:sz w:val="28"/>
          <w:szCs w:val="28"/>
        </w:rPr>
        <w:t>课程中</w:t>
      </w:r>
      <w:r>
        <w:rPr>
          <w:rFonts w:hint="eastAsia" w:ascii="仿宋" w:hAnsi="仿宋" w:eastAsia="仿宋"/>
          <w:sz w:val="28"/>
          <w:szCs w:val="28"/>
        </w:rPr>
        <w:t>的思政</w:t>
      </w:r>
      <w:r>
        <w:rPr>
          <w:rFonts w:ascii="仿宋" w:hAnsi="仿宋" w:eastAsia="仿宋"/>
          <w:sz w:val="28"/>
          <w:szCs w:val="28"/>
        </w:rPr>
        <w:t>元素，基于学生中心创新课程教学设计</w:t>
      </w:r>
      <w:r>
        <w:rPr>
          <w:rFonts w:hint="eastAsia" w:ascii="仿宋" w:hAnsi="仿宋" w:eastAsia="仿宋"/>
          <w:sz w:val="28"/>
          <w:szCs w:val="28"/>
        </w:rPr>
        <w:t>，做到有机融入、深度结合、自然讲</w:t>
      </w:r>
      <w:r>
        <w:rPr>
          <w:rFonts w:hint="eastAsia" w:ascii="仿宋" w:hAnsi="仿宋" w:eastAsia="仿宋"/>
          <w:color w:val="000000" w:themeColor="text1"/>
          <w:sz w:val="28"/>
          <w:szCs w:val="28"/>
          <w14:textFill>
            <w14:solidFill>
              <w14:schemeClr w14:val="tx1"/>
            </w14:solidFill>
          </w14:textFill>
        </w:rPr>
        <w:t>授</w:t>
      </w:r>
      <w:r>
        <w:rPr>
          <w:rFonts w:ascii="仿宋" w:hAnsi="仿宋" w:eastAsia="仿宋"/>
          <w:color w:val="000000" w:themeColor="text1"/>
          <w:sz w:val="28"/>
          <w:szCs w:val="28"/>
          <w14:textFill>
            <w14:solidFill>
              <w14:schemeClr w14:val="tx1"/>
            </w14:solidFill>
          </w14:textFill>
        </w:rPr>
        <w:t>。</w:t>
      </w:r>
      <w:r>
        <w:rPr>
          <w:rFonts w:hint="eastAsia" w:ascii="仿宋" w:hAnsi="仿宋" w:eastAsia="仿宋"/>
          <w:color w:val="000000" w:themeColor="text1"/>
          <w:sz w:val="28"/>
          <w:szCs w:val="28"/>
          <w14:textFill>
            <w14:solidFill>
              <w14:schemeClr w14:val="tx1"/>
            </w14:solidFill>
          </w14:textFill>
        </w:rPr>
        <w:t>同时，要求马克思主义学院教师深入各学院专业教研室，了解2-3门专业课程，与专任教师共同开展集体教研，共同挖掘专业课程中的思政元素，每学期1-2次。充分发挥优秀骨干教师的示范带动作用。学科带头人、专业责任教授、高水平教学团队负责人等要带头开展课程思政建设。</w:t>
      </w:r>
    </w:p>
    <w:p>
      <w:pPr>
        <w:spacing w:line="360" w:lineRule="auto"/>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健全</w:t>
      </w:r>
      <w:r>
        <w:rPr>
          <w:rFonts w:ascii="仿宋" w:hAnsi="仿宋" w:eastAsia="仿宋"/>
          <w:color w:val="000000" w:themeColor="text1"/>
          <w:sz w:val="28"/>
          <w:szCs w:val="28"/>
          <w14:textFill>
            <w14:solidFill>
              <w14:schemeClr w14:val="tx1"/>
            </w14:solidFill>
          </w14:textFill>
        </w:rPr>
        <w:t>第一课堂和第二、</w:t>
      </w:r>
      <w:r>
        <w:rPr>
          <w:rFonts w:hint="eastAsia" w:ascii="仿宋" w:hAnsi="仿宋" w:eastAsia="仿宋"/>
          <w:color w:val="000000" w:themeColor="text1"/>
          <w:sz w:val="28"/>
          <w:szCs w:val="28"/>
          <w14:textFill>
            <w14:solidFill>
              <w14:schemeClr w14:val="tx1"/>
            </w14:solidFill>
          </w14:textFill>
        </w:rPr>
        <w:t>第</w:t>
      </w:r>
      <w:r>
        <w:rPr>
          <w:rFonts w:ascii="仿宋" w:hAnsi="仿宋" w:eastAsia="仿宋"/>
          <w:color w:val="000000" w:themeColor="text1"/>
          <w:sz w:val="28"/>
          <w:szCs w:val="28"/>
          <w14:textFill>
            <w14:solidFill>
              <w14:schemeClr w14:val="tx1"/>
            </w14:solidFill>
          </w14:textFill>
        </w:rPr>
        <w:t>三课堂的课程思政协同联动</w:t>
      </w:r>
      <w:r>
        <w:rPr>
          <w:rFonts w:hint="eastAsia" w:ascii="仿宋" w:hAnsi="仿宋" w:eastAsia="仿宋"/>
          <w:color w:val="000000" w:themeColor="text1"/>
          <w:sz w:val="28"/>
          <w:szCs w:val="28"/>
          <w14:textFill>
            <w14:solidFill>
              <w14:schemeClr w14:val="tx1"/>
            </w14:solidFill>
          </w14:textFill>
        </w:rPr>
        <w:t>机制</w:t>
      </w:r>
      <w:r>
        <w:rPr>
          <w:rFonts w:ascii="仿宋" w:hAnsi="仿宋" w:eastAsia="仿宋"/>
          <w:color w:val="000000" w:themeColor="text1"/>
          <w:sz w:val="28"/>
          <w:szCs w:val="28"/>
          <w14:textFill>
            <w14:solidFill>
              <w14:schemeClr w14:val="tx1"/>
            </w14:solidFill>
          </w14:textFill>
        </w:rPr>
        <w:t>。</w:t>
      </w:r>
      <w:r>
        <w:rPr>
          <w:rFonts w:hint="eastAsia" w:ascii="仿宋" w:hAnsi="仿宋" w:eastAsia="仿宋"/>
          <w:color w:val="000000" w:themeColor="text1"/>
          <w:sz w:val="28"/>
          <w:szCs w:val="28"/>
          <w14:textFill>
            <w14:solidFill>
              <w14:schemeClr w14:val="tx1"/>
            </w14:solidFill>
          </w14:textFill>
        </w:rPr>
        <w:t>深入开展以“时代</w:t>
      </w:r>
      <w:r>
        <w:rPr>
          <w:rFonts w:hint="eastAsia" w:ascii="宋体" w:hAnsi="宋体" w:eastAsia="宋体" w:cs="宋体"/>
          <w:color w:val="000000" w:themeColor="text1"/>
          <w:sz w:val="28"/>
          <w:szCs w:val="28"/>
          <w14:textFill>
            <w14:solidFill>
              <w14:schemeClr w14:val="tx1"/>
            </w14:solidFill>
          </w14:textFill>
        </w:rPr>
        <w:t>•</w:t>
      </w:r>
      <w:r>
        <w:rPr>
          <w:rFonts w:hint="eastAsia" w:ascii="仿宋" w:hAnsi="仿宋" w:eastAsia="仿宋" w:cs="仿宋"/>
          <w:color w:val="000000" w:themeColor="text1"/>
          <w:sz w:val="28"/>
          <w:szCs w:val="28"/>
          <w14:textFill>
            <w14:solidFill>
              <w14:schemeClr w14:val="tx1"/>
            </w14:solidFill>
          </w14:textFill>
        </w:rPr>
        <w:t>应用”为主题的专业文化育人</w:t>
      </w:r>
      <w:r>
        <w:rPr>
          <w:rFonts w:ascii="仿宋" w:hAnsi="仿宋" w:eastAsia="仿宋"/>
          <w:color w:val="000000" w:themeColor="text1"/>
          <w:sz w:val="28"/>
          <w:szCs w:val="28"/>
          <w14:textFill>
            <w14:solidFill>
              <w14:schemeClr w14:val="tx1"/>
            </w14:solidFill>
          </w14:textFill>
        </w:rPr>
        <w:t>活动，</w:t>
      </w:r>
      <w:r>
        <w:rPr>
          <w:rFonts w:hint="eastAsia" w:ascii="仿宋" w:hAnsi="仿宋" w:eastAsia="仿宋"/>
          <w:color w:val="000000" w:themeColor="text1"/>
          <w:sz w:val="28"/>
          <w:szCs w:val="28"/>
          <w14:textFill>
            <w14:solidFill>
              <w14:schemeClr w14:val="tx1"/>
            </w14:solidFill>
          </w14:textFill>
        </w:rPr>
        <w:t>引导学生自主挖掘专业文化中蕴含的育人价值。继续推进“新时代先进人物进校园”活动和校外德育基地建设工作。实现专业文化育人在</w:t>
      </w:r>
      <w:r>
        <w:rPr>
          <w:rFonts w:ascii="仿宋" w:hAnsi="仿宋" w:eastAsia="仿宋"/>
          <w:color w:val="000000" w:themeColor="text1"/>
          <w:sz w:val="28"/>
          <w:szCs w:val="28"/>
          <w14:textFill>
            <w14:solidFill>
              <w14:schemeClr w14:val="tx1"/>
            </w14:solidFill>
          </w14:textFill>
        </w:rPr>
        <w:t>所有专业和所有学生中的</w:t>
      </w:r>
      <w:r>
        <w:rPr>
          <w:rFonts w:hint="eastAsia" w:ascii="仿宋" w:hAnsi="仿宋" w:eastAsia="仿宋"/>
          <w:color w:val="000000" w:themeColor="text1"/>
          <w:sz w:val="28"/>
          <w:szCs w:val="28"/>
          <w14:textFill>
            <w14:solidFill>
              <w14:schemeClr w14:val="tx1"/>
            </w14:solidFill>
          </w14:textFill>
        </w:rPr>
        <w:t>全覆盖，并列入新生入学教育必修科目。同时，制作专业文化育人微视频课程，纳入易班优课平台。</w:t>
      </w:r>
    </w:p>
    <w:p>
      <w:pPr>
        <w:spacing w:line="360" w:lineRule="auto"/>
        <w:ind w:firstLine="540" w:firstLineChars="192"/>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（四）以多层次研修体系增强</w:t>
      </w:r>
      <w:r>
        <w:rPr>
          <w:rFonts w:ascii="仿宋" w:hAnsi="仿宋" w:eastAsia="仿宋"/>
          <w:b/>
          <w:color w:val="000000" w:themeColor="text1"/>
          <w:sz w:val="28"/>
          <w:szCs w:val="28"/>
          <w14:textFill>
            <w14:solidFill>
              <w14:schemeClr w14:val="tx1"/>
            </w14:solidFill>
          </w14:textFill>
        </w:rPr>
        <w:t>育德能力</w:t>
      </w:r>
    </w:p>
    <w:p>
      <w:pPr>
        <w:spacing w:line="360" w:lineRule="auto"/>
        <w:ind w:firstLine="537" w:firstLineChars="192"/>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以</w:t>
      </w:r>
      <w:r>
        <w:rPr>
          <w:rFonts w:ascii="仿宋" w:hAnsi="仿宋" w:eastAsia="仿宋"/>
          <w:color w:val="000000" w:themeColor="text1"/>
          <w:sz w:val="28"/>
          <w:szCs w:val="28"/>
          <w14:textFill>
            <w14:solidFill>
              <w14:schemeClr w14:val="tx1"/>
            </w14:solidFill>
          </w14:textFill>
        </w:rPr>
        <w:t>提升</w:t>
      </w:r>
      <w:r>
        <w:rPr>
          <w:rFonts w:hint="eastAsia" w:ascii="仿宋" w:hAnsi="仿宋" w:eastAsia="仿宋"/>
          <w:color w:val="000000" w:themeColor="text1"/>
          <w:sz w:val="28"/>
          <w:szCs w:val="28"/>
          <w14:textFill>
            <w14:solidFill>
              <w14:schemeClr w14:val="tx1"/>
            </w14:solidFill>
          </w14:textFill>
        </w:rPr>
        <w:t>全体教师</w:t>
      </w:r>
      <w:r>
        <w:rPr>
          <w:rFonts w:ascii="仿宋" w:hAnsi="仿宋" w:eastAsia="仿宋"/>
          <w:color w:val="000000" w:themeColor="text1"/>
          <w:sz w:val="28"/>
          <w:szCs w:val="28"/>
          <w14:textFill>
            <w14:solidFill>
              <w14:schemeClr w14:val="tx1"/>
            </w14:solidFill>
          </w14:textFill>
        </w:rPr>
        <w:t>课程思政</w:t>
      </w:r>
      <w:r>
        <w:rPr>
          <w:rFonts w:hint="eastAsia" w:ascii="仿宋" w:hAnsi="仿宋" w:eastAsia="仿宋"/>
          <w:color w:val="000000" w:themeColor="text1"/>
          <w:sz w:val="28"/>
          <w:szCs w:val="28"/>
          <w14:textFill>
            <w14:solidFill>
              <w14:schemeClr w14:val="tx1"/>
            </w14:solidFill>
          </w14:textFill>
        </w:rPr>
        <w:t>建设</w:t>
      </w:r>
      <w:r>
        <w:rPr>
          <w:rFonts w:ascii="仿宋" w:hAnsi="仿宋" w:eastAsia="仿宋"/>
          <w:color w:val="000000" w:themeColor="text1"/>
          <w:sz w:val="28"/>
          <w:szCs w:val="28"/>
          <w14:textFill>
            <w14:solidFill>
              <w14:schemeClr w14:val="tx1"/>
            </w14:solidFill>
          </w14:textFill>
        </w:rPr>
        <w:t>能力为目标，</w:t>
      </w:r>
      <w:r>
        <w:rPr>
          <w:rFonts w:hint="eastAsia" w:ascii="仿宋" w:hAnsi="仿宋" w:eastAsia="仿宋"/>
          <w:color w:val="000000" w:themeColor="text1"/>
          <w:sz w:val="28"/>
          <w:szCs w:val="28"/>
          <w14:textFill>
            <w14:solidFill>
              <w14:schemeClr w14:val="tx1"/>
            </w14:solidFill>
          </w14:textFill>
        </w:rPr>
        <w:t>建设多方位、多层次的研修体系。深入基层、贴近教师，坚持问题导向和目标导向相统一，依托课程思政研究中心加强重点难点和前瞻性问题的研究，每年立项25项课程思政研究课题，基于办学</w:t>
      </w:r>
      <w:r>
        <w:rPr>
          <w:rFonts w:ascii="仿宋" w:hAnsi="仿宋" w:eastAsia="仿宋"/>
          <w:color w:val="000000" w:themeColor="text1"/>
          <w:sz w:val="28"/>
          <w:szCs w:val="28"/>
          <w14:textFill>
            <w14:solidFill>
              <w14:schemeClr w14:val="tx1"/>
            </w14:solidFill>
          </w14:textFill>
        </w:rPr>
        <w:t>定位</w:t>
      </w:r>
      <w:r>
        <w:rPr>
          <w:rFonts w:hint="eastAsia" w:ascii="仿宋" w:hAnsi="仿宋" w:eastAsia="仿宋"/>
          <w:color w:val="000000" w:themeColor="text1"/>
          <w:sz w:val="28"/>
          <w:szCs w:val="28"/>
          <w14:textFill>
            <w14:solidFill>
              <w14:schemeClr w14:val="tx1"/>
            </w14:solidFill>
          </w14:textFill>
        </w:rPr>
        <w:t>深入探索和提升应用型创新型高校</w:t>
      </w:r>
      <w:r>
        <w:rPr>
          <w:rFonts w:ascii="仿宋" w:hAnsi="仿宋" w:eastAsia="仿宋"/>
          <w:color w:val="000000" w:themeColor="text1"/>
          <w:sz w:val="28"/>
          <w:szCs w:val="28"/>
          <w14:textFill>
            <w14:solidFill>
              <w14:schemeClr w14:val="tx1"/>
            </w14:solidFill>
          </w14:textFill>
        </w:rPr>
        <w:t>课程思政</w:t>
      </w:r>
      <w:r>
        <w:rPr>
          <w:rFonts w:hint="eastAsia" w:ascii="仿宋" w:hAnsi="仿宋" w:eastAsia="仿宋"/>
          <w:color w:val="000000" w:themeColor="text1"/>
          <w:sz w:val="28"/>
          <w:szCs w:val="28"/>
          <w14:textFill>
            <w14:solidFill>
              <w14:schemeClr w14:val="tx1"/>
            </w14:solidFill>
          </w14:textFill>
        </w:rPr>
        <w:t>建设</w:t>
      </w:r>
      <w:r>
        <w:rPr>
          <w:rFonts w:ascii="仿宋" w:hAnsi="仿宋" w:eastAsia="仿宋"/>
          <w:color w:val="000000" w:themeColor="text1"/>
          <w:sz w:val="28"/>
          <w:szCs w:val="28"/>
          <w14:textFill>
            <w14:solidFill>
              <w14:schemeClr w14:val="tx1"/>
            </w14:solidFill>
          </w14:textFill>
        </w:rPr>
        <w:t>的规律性认识。</w:t>
      </w:r>
    </w:p>
    <w:p>
      <w:pPr>
        <w:spacing w:line="360" w:lineRule="auto"/>
        <w:ind w:firstLine="537" w:firstLineChars="192"/>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将课程思政建设纳入每年的教师岗前培训、在岗培训、师德师风、教学能力专题培训等。举办课程思政骨干教师专题培训班，覆盖领航计划全体教师，辐射各学院各专业的老师，努力做到全校教师全覆盖。建立健全优质资源共享机制，分学科专业常态</w:t>
      </w:r>
      <w:r>
        <w:rPr>
          <w:rFonts w:ascii="仿宋" w:hAnsi="仿宋" w:eastAsia="仿宋"/>
          <w:color w:val="000000" w:themeColor="text1"/>
          <w:sz w:val="28"/>
          <w:szCs w:val="28"/>
          <w14:textFill>
            <w14:solidFill>
              <w14:schemeClr w14:val="tx1"/>
            </w14:solidFill>
          </w14:textFill>
        </w:rPr>
        <w:t>化</w:t>
      </w:r>
      <w:r>
        <w:rPr>
          <w:rFonts w:hint="eastAsia" w:ascii="仿宋" w:hAnsi="仿宋" w:eastAsia="仿宋"/>
          <w:color w:val="000000" w:themeColor="text1"/>
          <w:sz w:val="28"/>
          <w:szCs w:val="28"/>
          <w14:textFill>
            <w14:solidFill>
              <w14:schemeClr w14:val="tx1"/>
            </w14:solidFill>
          </w14:textFill>
        </w:rPr>
        <w:t>开展经验交流、现场教学观摩、教师教学培训、</w:t>
      </w:r>
      <w:r>
        <w:rPr>
          <w:rFonts w:ascii="仿宋" w:hAnsi="仿宋" w:eastAsia="仿宋"/>
          <w:color w:val="000000" w:themeColor="text1"/>
          <w:sz w:val="28"/>
          <w:szCs w:val="28"/>
          <w14:textFill>
            <w14:solidFill>
              <w14:schemeClr w14:val="tx1"/>
            </w14:solidFill>
          </w14:textFill>
        </w:rPr>
        <w:t>教师沙龙</w:t>
      </w:r>
      <w:r>
        <w:rPr>
          <w:rFonts w:hint="eastAsia" w:ascii="仿宋" w:hAnsi="仿宋" w:eastAsia="仿宋"/>
          <w:color w:val="000000" w:themeColor="text1"/>
          <w:sz w:val="28"/>
          <w:szCs w:val="28"/>
          <w14:textFill>
            <w14:solidFill>
              <w14:schemeClr w14:val="tx1"/>
            </w14:solidFill>
          </w14:textFill>
        </w:rPr>
        <w:t>等活动，覆盖面</w:t>
      </w:r>
      <w:r>
        <w:rPr>
          <w:rFonts w:ascii="仿宋" w:hAnsi="仿宋" w:eastAsia="仿宋"/>
          <w:color w:val="000000" w:themeColor="text1"/>
          <w:sz w:val="28"/>
          <w:szCs w:val="28"/>
          <w14:textFill>
            <w14:solidFill>
              <w14:schemeClr w14:val="tx1"/>
            </w14:solidFill>
          </w14:textFill>
        </w:rPr>
        <w:t>达到</w:t>
      </w:r>
      <w:r>
        <w:rPr>
          <w:rFonts w:hint="eastAsia" w:ascii="仿宋" w:hAnsi="仿宋" w:eastAsia="仿宋"/>
          <w:color w:val="000000" w:themeColor="text1"/>
          <w:sz w:val="28"/>
          <w:szCs w:val="28"/>
          <w14:textFill>
            <w14:solidFill>
              <w14:schemeClr w14:val="tx1"/>
            </w14:solidFill>
          </w14:textFill>
        </w:rPr>
        <w:t>年均1000人次以上。</w:t>
      </w:r>
    </w:p>
    <w:p>
      <w:pPr>
        <w:spacing w:line="360" w:lineRule="auto"/>
        <w:ind w:firstLine="540" w:firstLineChars="192"/>
        <w:rPr>
          <w:rFonts w:ascii="仿宋" w:hAnsi="仿宋" w:eastAsia="仿宋"/>
          <w:b/>
          <w:color w:val="C00000"/>
          <w:sz w:val="28"/>
          <w:szCs w:val="28"/>
        </w:rPr>
      </w:pPr>
      <w:r>
        <w:rPr>
          <w:rFonts w:hint="eastAsia" w:ascii="仿宋" w:hAnsi="仿宋" w:eastAsia="仿宋"/>
          <w:b/>
          <w:color w:val="000000" w:themeColor="text1"/>
          <w:sz w:val="28"/>
          <w:szCs w:val="28"/>
          <w14:textFill>
            <w14:solidFill>
              <w14:schemeClr w14:val="tx1"/>
            </w14:solidFill>
          </w14:textFill>
        </w:rPr>
        <w:t>（五）以体制机制建设激活课程思政</w:t>
      </w:r>
      <w:r>
        <w:rPr>
          <w:rFonts w:ascii="仿宋" w:hAnsi="仿宋" w:eastAsia="仿宋"/>
          <w:b/>
          <w:color w:val="000000" w:themeColor="text1"/>
          <w:sz w:val="28"/>
          <w:szCs w:val="28"/>
          <w14:textFill>
            <w14:solidFill>
              <w14:schemeClr w14:val="tx1"/>
            </w14:solidFill>
          </w14:textFill>
        </w:rPr>
        <w:t>改革内生动力</w:t>
      </w:r>
    </w:p>
    <w:p>
      <w:pPr>
        <w:spacing w:line="360" w:lineRule="auto"/>
        <w:ind w:firstLine="537" w:firstLineChars="192"/>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着力构建学校党政统一领导、有关职能部门联动协作、二级学院全力运行的学校课程思政整体改革体制机制。在顶层设计上，校级层面注重统筹，在校党委统一领导下，思想政治工作委员会、三全育人综合改革领导小组、课程思政教育教学改革领导小组以及相应办公室，既要统一行动，又要有所侧重，还要协作配合，形成“总—分—总”工作模式，统一在校党委总揽全局、协调各方的职能发挥上。切实加强上下联动，加强与二级学院的联系，形成协调一致的课程思政工作计划和工作举措，既有协同效应、又各具特色。聚焦到课程思政改革的指导、协调、推进、总结、推广等方面，一体化促进上下联动。各二级学院要在学校党委的领导和指导下，结合自身实际，上下结合确保改革举措层层压实，形成共性化与个性化相统一的学院工作体制机制。同时，引导二级学院结合学科专业人才培养具体特质，加强内外联动，充分运用外部资源助推课程思政，拓展课程思政内涵。</w:t>
      </w:r>
    </w:p>
    <w:p>
      <w:pPr>
        <w:spacing w:line="360" w:lineRule="auto"/>
        <w:ind w:firstLine="570"/>
        <w:rPr>
          <w:rFonts w:ascii="仿宋" w:hAnsi="仿宋" w:eastAsia="仿宋"/>
          <w:color w:val="000000" w:themeColor="text1"/>
          <w:sz w:val="28"/>
          <w:szCs w:val="28"/>
          <w14:textFill>
            <w14:solidFill>
              <w14:schemeClr w14:val="tx1"/>
            </w14:solidFill>
          </w14:textFill>
        </w:rPr>
      </w:pPr>
    </w:p>
    <w:p>
      <w:pPr>
        <w:adjustRightInd w:val="0"/>
        <w:snapToGrid w:val="0"/>
        <w:spacing w:line="360" w:lineRule="auto"/>
        <w:ind w:firstLine="621" w:firstLineChars="221"/>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四</w:t>
      </w:r>
      <w:r>
        <w:rPr>
          <w:rFonts w:ascii="仿宋" w:hAnsi="仿宋" w:eastAsia="仿宋"/>
          <w:b/>
          <w:color w:val="000000" w:themeColor="text1"/>
          <w:sz w:val="28"/>
          <w:szCs w:val="28"/>
          <w14:textFill>
            <w14:solidFill>
              <w14:schemeClr w14:val="tx1"/>
            </w14:solidFill>
          </w14:textFill>
        </w:rPr>
        <w:t>、预期成果</w:t>
      </w:r>
    </w:p>
    <w:p>
      <w:pPr>
        <w:adjustRightInd w:val="0"/>
        <w:snapToGrid w:val="0"/>
        <w:spacing w:line="360" w:lineRule="auto"/>
        <w:ind w:firstLine="618" w:firstLineChars="221"/>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w:t>
      </w:r>
      <w:r>
        <w:rPr>
          <w:rFonts w:ascii="仿宋" w:hAnsi="仿宋" w:eastAsia="仿宋"/>
          <w:color w:val="000000" w:themeColor="text1"/>
          <w:sz w:val="28"/>
          <w:szCs w:val="28"/>
          <w14:textFill>
            <w14:solidFill>
              <w14:schemeClr w14:val="tx1"/>
            </w14:solidFill>
          </w14:textFill>
        </w:rPr>
        <w:t>形成</w:t>
      </w:r>
      <w:r>
        <w:rPr>
          <w:rFonts w:hint="eastAsia" w:ascii="仿宋" w:hAnsi="仿宋" w:eastAsia="仿宋"/>
          <w:color w:val="000000" w:themeColor="text1"/>
          <w:sz w:val="28"/>
          <w:szCs w:val="28"/>
          <w14:textFill>
            <w14:solidFill>
              <w14:schemeClr w14:val="tx1"/>
            </w14:solidFill>
          </w14:textFill>
        </w:rPr>
        <w:t>覆盖</w:t>
      </w:r>
      <w:r>
        <w:rPr>
          <w:rFonts w:ascii="仿宋" w:hAnsi="仿宋" w:eastAsia="仿宋"/>
          <w:color w:val="000000" w:themeColor="text1"/>
          <w:sz w:val="28"/>
          <w:szCs w:val="28"/>
          <w14:textFill>
            <w14:solidFill>
              <w14:schemeClr w14:val="tx1"/>
            </w14:solidFill>
          </w14:textFill>
        </w:rPr>
        <w:t>三大学科专业群</w:t>
      </w:r>
      <w:r>
        <w:rPr>
          <w:rFonts w:hint="eastAsia" w:ascii="仿宋" w:hAnsi="仿宋" w:eastAsia="仿宋"/>
          <w:color w:val="000000" w:themeColor="text1"/>
          <w:sz w:val="28"/>
          <w:szCs w:val="28"/>
          <w14:textFill>
            <w14:solidFill>
              <w14:schemeClr w14:val="tx1"/>
            </w14:solidFill>
          </w14:textFill>
        </w:rPr>
        <w:t>的课程思政教学指南和</w:t>
      </w:r>
      <w:r>
        <w:rPr>
          <w:rFonts w:ascii="仿宋" w:hAnsi="仿宋" w:eastAsia="仿宋"/>
          <w:color w:val="000000" w:themeColor="text1"/>
          <w:sz w:val="28"/>
          <w:szCs w:val="28"/>
          <w14:textFill>
            <w14:solidFill>
              <w14:schemeClr w14:val="tx1"/>
            </w14:solidFill>
          </w14:textFill>
        </w:rPr>
        <w:t>涵盖公共基础课、专业课、实践课等不同类型的课程思政</w:t>
      </w:r>
      <w:r>
        <w:rPr>
          <w:rFonts w:hint="eastAsia" w:ascii="仿宋" w:hAnsi="仿宋" w:eastAsia="仿宋"/>
          <w:color w:val="000000" w:themeColor="text1"/>
          <w:sz w:val="28"/>
          <w:szCs w:val="28"/>
          <w14:textFill>
            <w14:solidFill>
              <w14:schemeClr w14:val="tx1"/>
            </w14:solidFill>
          </w14:textFill>
        </w:rPr>
        <w:t>操作规范和优秀案例。</w:t>
      </w:r>
    </w:p>
    <w:p>
      <w:pPr>
        <w:spacing w:line="360" w:lineRule="auto"/>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2.</w:t>
      </w:r>
      <w:r>
        <w:rPr>
          <w:rFonts w:hint="eastAsia" w:ascii="仿宋" w:hAnsi="仿宋" w:eastAsia="仿宋"/>
          <w:sz w:val="28"/>
          <w:szCs w:val="28"/>
        </w:rPr>
        <w:t>完善一套与课程思政建设相关的管理制度</w:t>
      </w:r>
      <w:r>
        <w:rPr>
          <w:rFonts w:hint="eastAsia" w:ascii="仿宋" w:hAnsi="仿宋" w:eastAsia="仿宋"/>
          <w:color w:val="000000" w:themeColor="text1"/>
          <w:sz w:val="28"/>
          <w:szCs w:val="28"/>
          <w14:textFill>
            <w14:solidFill>
              <w14:schemeClr w14:val="tx1"/>
            </w14:solidFill>
          </w14:textFill>
        </w:rPr>
        <w:t>，构建相互支撑的体制机制</w:t>
      </w:r>
      <w:r>
        <w:rPr>
          <w:rFonts w:ascii="仿宋" w:hAnsi="仿宋" w:eastAsia="仿宋"/>
          <w:color w:val="000000" w:themeColor="text1"/>
          <w:sz w:val="28"/>
          <w:szCs w:val="28"/>
          <w14:textFill>
            <w14:solidFill>
              <w14:schemeClr w14:val="tx1"/>
            </w14:solidFill>
          </w14:textFill>
        </w:rPr>
        <w:t>。</w:t>
      </w:r>
    </w:p>
    <w:p>
      <w:pPr>
        <w:spacing w:line="360" w:lineRule="auto"/>
        <w:ind w:firstLine="560" w:firstLineChars="200"/>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3</w:t>
      </w:r>
      <w:r>
        <w:rPr>
          <w:rFonts w:hint="eastAsia" w:ascii="仿宋" w:hAnsi="仿宋" w:eastAsia="仿宋"/>
          <w:color w:val="000000" w:themeColor="text1"/>
          <w:sz w:val="28"/>
          <w:szCs w:val="28"/>
          <w14:textFill>
            <w14:solidFill>
              <w14:schemeClr w14:val="tx1"/>
            </w14:solidFill>
          </w14:textFill>
        </w:rPr>
        <w:t>.融合打造一流专业、一流课程，建设</w:t>
      </w:r>
      <w:r>
        <w:rPr>
          <w:rFonts w:ascii="仿宋" w:hAnsi="仿宋" w:eastAsia="仿宋"/>
          <w:color w:val="000000" w:themeColor="text1"/>
          <w:sz w:val="28"/>
          <w:szCs w:val="28"/>
          <w14:textFill>
            <w14:solidFill>
              <w14:schemeClr w14:val="tx1"/>
            </w14:solidFill>
          </w14:textFill>
        </w:rPr>
        <w:t>领航课程</w:t>
      </w:r>
      <w:r>
        <w:rPr>
          <w:rFonts w:hint="eastAsia" w:ascii="仿宋" w:hAnsi="仿宋" w:eastAsia="仿宋"/>
          <w:color w:val="000000" w:themeColor="text1"/>
          <w:sz w:val="28"/>
          <w:szCs w:val="28"/>
          <w14:textFill>
            <w14:solidFill>
              <w14:schemeClr w14:val="tx1"/>
            </w14:solidFill>
          </w14:textFill>
        </w:rPr>
        <w:t>400门，建成40门</w:t>
      </w:r>
      <w:r>
        <w:rPr>
          <w:rFonts w:ascii="仿宋" w:hAnsi="仿宋" w:eastAsia="仿宋"/>
          <w:color w:val="000000" w:themeColor="text1"/>
          <w:sz w:val="28"/>
          <w:szCs w:val="28"/>
          <w14:textFill>
            <w14:solidFill>
              <w14:schemeClr w14:val="tx1"/>
            </w14:solidFill>
          </w14:textFill>
        </w:rPr>
        <w:t>左右的市级及以上重点课程、一流课程。</w:t>
      </w:r>
    </w:p>
    <w:p>
      <w:pPr>
        <w:spacing w:line="360" w:lineRule="auto"/>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4.形成</w:t>
      </w:r>
      <w:r>
        <w:rPr>
          <w:rFonts w:ascii="仿宋" w:hAnsi="仿宋" w:eastAsia="仿宋"/>
          <w:color w:val="000000" w:themeColor="text1"/>
          <w:sz w:val="28"/>
          <w:szCs w:val="28"/>
          <w14:textFill>
            <w14:solidFill>
              <w14:schemeClr w14:val="tx1"/>
            </w14:solidFill>
          </w14:textFill>
        </w:rPr>
        <w:t>应用创新型大学课程思政改革</w:t>
      </w:r>
      <w:r>
        <w:rPr>
          <w:rFonts w:hint="eastAsia" w:ascii="仿宋" w:hAnsi="仿宋" w:eastAsia="仿宋"/>
          <w:color w:val="000000" w:themeColor="text1"/>
          <w:sz w:val="28"/>
          <w:szCs w:val="28"/>
          <w14:textFill>
            <w14:solidFill>
              <w14:schemeClr w14:val="tx1"/>
            </w14:solidFill>
          </w14:textFill>
        </w:rPr>
        <w:t>的“三个一”：一套典型经验、一项市级教学成果奖和一批出版著作。</w:t>
      </w:r>
    </w:p>
    <w:p>
      <w:pPr>
        <w:spacing w:line="360" w:lineRule="auto"/>
        <w:rPr>
          <w:sz w:val="28"/>
          <w:szCs w:val="28"/>
        </w:rPr>
      </w:pPr>
    </w:p>
    <w:p>
      <w:pPr>
        <w:widowControl/>
        <w:spacing w:line="360" w:lineRule="auto"/>
        <w:jc w:val="left"/>
      </w:pPr>
      <w:r>
        <w:br w:type="page"/>
      </w:r>
    </w:p>
    <w:p>
      <w:pPr>
        <w:spacing w:line="360" w:lineRule="auto"/>
        <w:rPr>
          <w:rFonts w:ascii="仿宋" w:hAnsi="仿宋" w:eastAsia="仿宋"/>
          <w:sz w:val="28"/>
          <w:szCs w:val="28"/>
        </w:rPr>
      </w:pPr>
      <w:r>
        <w:rPr>
          <w:rFonts w:hint="eastAsia" w:ascii="仿宋" w:hAnsi="仿宋" w:eastAsia="仿宋"/>
          <w:sz w:val="28"/>
          <w:szCs w:val="28"/>
        </w:rPr>
        <w:t>附件2</w:t>
      </w:r>
    </w:p>
    <w:p>
      <w:pPr>
        <w:pStyle w:val="2"/>
        <w:spacing w:before="0" w:after="0" w:line="360" w:lineRule="auto"/>
        <w:ind w:firstLine="602" w:firstLineChars="200"/>
        <w:jc w:val="center"/>
        <w:rPr>
          <w:rFonts w:asciiTheme="minorEastAsia" w:hAnsiTheme="minorEastAsia"/>
          <w:sz w:val="30"/>
          <w:szCs w:val="30"/>
        </w:rPr>
      </w:pPr>
      <w:bookmarkStart w:id="31" w:name="_Toc131671194"/>
      <w:r>
        <w:rPr>
          <w:rFonts w:hint="eastAsia" w:asciiTheme="minorEastAsia" w:hAnsiTheme="minorEastAsia"/>
          <w:sz w:val="30"/>
          <w:szCs w:val="30"/>
        </w:rPr>
        <w:t>上海应用技术大学课程思政领航校2020年建设进展报告</w:t>
      </w:r>
      <w:bookmarkEnd w:id="31"/>
    </w:p>
    <w:p>
      <w:pPr>
        <w:spacing w:line="360" w:lineRule="auto"/>
        <w:rPr>
          <w:sz w:val="24"/>
        </w:rPr>
      </w:pPr>
    </w:p>
    <w:p>
      <w:pPr>
        <w:spacing w:line="360" w:lineRule="auto"/>
        <w:ind w:firstLine="709"/>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上海应用技术大学认真落实《关于加快构建高校思想政治工作体系的意见》（教思政〔2020〕1号）和《高等学校课程思政建设指导纲要》（教高〔2020〕3号），以建设课程思政领航高校为契机，制定并实施《上海应用技术大学课程思政整体改革领航高校2020年工作计划》，围绕金课建设工程、名师培育工程、质量保障工程、理论研究工程、考核激励工程“五大工程”，建设领航学院、领航团队、领航课程，加强课程思政建设研究，在教学指南研制和体制机制建设上取得成效，实现了课程思政教师全覆盖、课程全覆盖，学校课程思政2.0建设提质增效显著，为示范领航应用型高校开展课程思政建设提供了可复制、可推广的有效模式。</w:t>
      </w:r>
    </w:p>
    <w:p>
      <w:pPr>
        <w:spacing w:line="360" w:lineRule="auto"/>
        <w:ind w:firstLine="551" w:firstLineChars="196"/>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一</w:t>
      </w:r>
      <w:r>
        <w:rPr>
          <w:rFonts w:ascii="仿宋" w:hAnsi="仿宋" w:eastAsia="仿宋"/>
          <w:b/>
          <w:color w:val="000000" w:themeColor="text1"/>
          <w:sz w:val="28"/>
          <w:szCs w:val="28"/>
          <w14:textFill>
            <w14:solidFill>
              <w14:schemeClr w14:val="tx1"/>
            </w14:solidFill>
          </w14:textFill>
        </w:rPr>
        <w:t>、</w:t>
      </w:r>
      <w:r>
        <w:rPr>
          <w:rFonts w:hint="eastAsia" w:ascii="仿宋" w:hAnsi="仿宋" w:eastAsia="仿宋"/>
          <w:b/>
          <w:color w:val="000000" w:themeColor="text1"/>
          <w:sz w:val="28"/>
          <w:szCs w:val="28"/>
          <w14:textFill>
            <w14:solidFill>
              <w14:schemeClr w14:val="tx1"/>
            </w14:solidFill>
          </w14:textFill>
        </w:rPr>
        <w:t>概述</w:t>
      </w:r>
    </w:p>
    <w:p>
      <w:pPr>
        <w:spacing w:line="360" w:lineRule="auto"/>
        <w:ind w:firstLine="709"/>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学校在</w:t>
      </w:r>
      <w:r>
        <w:rPr>
          <w:rFonts w:ascii="仿宋" w:hAnsi="仿宋" w:eastAsia="仿宋"/>
          <w:color w:val="000000" w:themeColor="text1"/>
          <w:sz w:val="28"/>
          <w:szCs w:val="28"/>
          <w14:textFill>
            <w14:solidFill>
              <w14:schemeClr w14:val="tx1"/>
            </w14:solidFill>
          </w14:textFill>
        </w:rPr>
        <w:t>课程思政</w:t>
      </w:r>
      <w:r>
        <w:rPr>
          <w:rFonts w:hint="eastAsia" w:ascii="仿宋" w:hAnsi="仿宋" w:eastAsia="仿宋"/>
          <w:color w:val="000000" w:themeColor="text1"/>
          <w:sz w:val="28"/>
          <w:szCs w:val="28"/>
          <w14:textFill>
            <w14:solidFill>
              <w14:schemeClr w14:val="tx1"/>
            </w14:solidFill>
          </w14:textFill>
        </w:rPr>
        <w:t>建设已有成果</w:t>
      </w:r>
      <w:r>
        <w:rPr>
          <w:rFonts w:ascii="仿宋" w:hAnsi="仿宋" w:eastAsia="仿宋"/>
          <w:color w:val="000000" w:themeColor="text1"/>
          <w:sz w:val="28"/>
          <w:szCs w:val="28"/>
          <w14:textFill>
            <w14:solidFill>
              <w14:schemeClr w14:val="tx1"/>
            </w14:solidFill>
          </w14:textFill>
        </w:rPr>
        <w:t>和经验的基础上，</w:t>
      </w:r>
      <w:r>
        <w:rPr>
          <w:rFonts w:hint="eastAsia" w:ascii="仿宋" w:hAnsi="仿宋" w:eastAsia="仿宋"/>
          <w:color w:val="000000" w:themeColor="text1"/>
          <w:sz w:val="28"/>
          <w:szCs w:val="28"/>
          <w14:textFill>
            <w14:solidFill>
              <w14:schemeClr w14:val="tx1"/>
            </w14:solidFill>
          </w14:textFill>
        </w:rPr>
        <w:t>进一步将</w:t>
      </w:r>
      <w:r>
        <w:rPr>
          <w:rFonts w:ascii="仿宋" w:hAnsi="仿宋" w:eastAsia="仿宋"/>
          <w:color w:val="000000" w:themeColor="text1"/>
          <w:sz w:val="28"/>
          <w:szCs w:val="28"/>
          <w14:textFill>
            <w14:solidFill>
              <w14:schemeClr w14:val="tx1"/>
            </w14:solidFill>
          </w14:textFill>
        </w:rPr>
        <w:t>课程思政</w:t>
      </w:r>
      <w:r>
        <w:rPr>
          <w:rFonts w:hint="eastAsia" w:ascii="仿宋" w:hAnsi="仿宋" w:eastAsia="仿宋"/>
          <w:color w:val="000000" w:themeColor="text1"/>
          <w:sz w:val="28"/>
          <w:szCs w:val="28"/>
          <w14:textFill>
            <w14:solidFill>
              <w14:schemeClr w14:val="tx1"/>
            </w14:solidFill>
          </w14:textFill>
        </w:rPr>
        <w:t>建设融入</w:t>
      </w:r>
      <w:r>
        <w:rPr>
          <w:rFonts w:ascii="仿宋" w:hAnsi="仿宋" w:eastAsia="仿宋"/>
          <w:color w:val="000000" w:themeColor="text1"/>
          <w:sz w:val="28"/>
          <w:szCs w:val="28"/>
          <w14:textFill>
            <w14:solidFill>
              <w14:schemeClr w14:val="tx1"/>
            </w14:solidFill>
          </w14:textFill>
        </w:rPr>
        <w:t>地方高水平应用型高校建设</w:t>
      </w:r>
      <w:r>
        <w:rPr>
          <w:rFonts w:hint="eastAsia" w:ascii="仿宋" w:hAnsi="仿宋" w:eastAsia="仿宋"/>
          <w:color w:val="000000" w:themeColor="text1"/>
          <w:sz w:val="28"/>
          <w:szCs w:val="28"/>
          <w14:textFill>
            <w14:solidFill>
              <w14:schemeClr w14:val="tx1"/>
            </w14:solidFill>
          </w14:textFill>
        </w:rPr>
        <w:t>。稳步实施“五大</w:t>
      </w:r>
      <w:r>
        <w:rPr>
          <w:rFonts w:ascii="仿宋" w:hAnsi="仿宋" w:eastAsia="仿宋"/>
          <w:color w:val="000000" w:themeColor="text1"/>
          <w:sz w:val="28"/>
          <w:szCs w:val="28"/>
          <w14:textFill>
            <w14:solidFill>
              <w14:schemeClr w14:val="tx1"/>
            </w14:solidFill>
          </w14:textFill>
        </w:rPr>
        <w:t>工程</w:t>
      </w:r>
      <w:r>
        <w:rPr>
          <w:rFonts w:hint="eastAsia" w:ascii="仿宋" w:hAnsi="仿宋" w:eastAsia="仿宋"/>
          <w:color w:val="000000" w:themeColor="text1"/>
          <w:sz w:val="28"/>
          <w:szCs w:val="28"/>
          <w14:textFill>
            <w14:solidFill>
              <w14:schemeClr w14:val="tx1"/>
            </w14:solidFill>
          </w14:textFill>
        </w:rPr>
        <w:t>”</w:t>
      </w:r>
      <w:r>
        <w:rPr>
          <w:rFonts w:ascii="仿宋" w:hAnsi="仿宋" w:eastAsia="仿宋"/>
          <w:color w:val="000000" w:themeColor="text1"/>
          <w:sz w:val="28"/>
          <w:szCs w:val="28"/>
          <w14:textFill>
            <w14:solidFill>
              <w14:schemeClr w14:val="tx1"/>
            </w14:solidFill>
          </w14:textFill>
        </w:rPr>
        <w:t>，</w:t>
      </w:r>
      <w:r>
        <w:rPr>
          <w:rFonts w:hint="eastAsia" w:ascii="仿宋" w:hAnsi="仿宋" w:eastAsia="仿宋"/>
          <w:color w:val="000000" w:themeColor="text1"/>
          <w:sz w:val="28"/>
          <w:szCs w:val="28"/>
          <w14:textFill>
            <w14:solidFill>
              <w14:schemeClr w14:val="tx1"/>
            </w14:solidFill>
          </w14:textFill>
        </w:rPr>
        <w:t>推动课程思政“面上推进、系统集成”</w:t>
      </w:r>
      <w:r>
        <w:rPr>
          <w:rFonts w:ascii="仿宋" w:hAnsi="仿宋" w:eastAsia="仿宋"/>
          <w:color w:val="000000" w:themeColor="text1"/>
          <w:sz w:val="28"/>
          <w:szCs w:val="28"/>
          <w14:textFill>
            <w14:solidFill>
              <w14:schemeClr w14:val="tx1"/>
            </w14:solidFill>
          </w14:textFill>
        </w:rPr>
        <w:t>，</w:t>
      </w:r>
      <w:r>
        <w:rPr>
          <w:rFonts w:hint="eastAsia" w:ascii="仿宋" w:hAnsi="仿宋" w:eastAsia="仿宋"/>
          <w:color w:val="000000" w:themeColor="text1"/>
          <w:sz w:val="28"/>
          <w:szCs w:val="28"/>
          <w14:textFill>
            <w14:solidFill>
              <w14:schemeClr w14:val="tx1"/>
            </w14:solidFill>
          </w14:textFill>
        </w:rPr>
        <w:t>在教学</w:t>
      </w:r>
      <w:r>
        <w:rPr>
          <w:rFonts w:ascii="仿宋" w:hAnsi="仿宋" w:eastAsia="仿宋"/>
          <w:color w:val="000000" w:themeColor="text1"/>
          <w:sz w:val="28"/>
          <w:szCs w:val="28"/>
          <w14:textFill>
            <w14:solidFill>
              <w14:schemeClr w14:val="tx1"/>
            </w14:solidFill>
          </w14:textFill>
        </w:rPr>
        <w:t>指南研制和体制机制建设</w:t>
      </w:r>
      <w:r>
        <w:rPr>
          <w:rFonts w:hint="eastAsia" w:ascii="仿宋" w:hAnsi="仿宋" w:eastAsia="仿宋"/>
          <w:color w:val="000000" w:themeColor="text1"/>
          <w:sz w:val="28"/>
          <w:szCs w:val="28"/>
          <w14:textFill>
            <w14:solidFill>
              <w14:schemeClr w14:val="tx1"/>
            </w14:solidFill>
          </w14:textFill>
        </w:rPr>
        <w:t>两个方面</w:t>
      </w:r>
      <w:r>
        <w:rPr>
          <w:rFonts w:ascii="仿宋" w:hAnsi="仿宋" w:eastAsia="仿宋"/>
          <w:color w:val="000000" w:themeColor="text1"/>
          <w:sz w:val="28"/>
          <w:szCs w:val="28"/>
          <w14:textFill>
            <w14:solidFill>
              <w14:schemeClr w14:val="tx1"/>
            </w14:solidFill>
          </w14:textFill>
        </w:rPr>
        <w:t>取得</w:t>
      </w:r>
      <w:r>
        <w:rPr>
          <w:rFonts w:hint="eastAsia" w:ascii="仿宋" w:hAnsi="仿宋" w:eastAsia="仿宋"/>
          <w:color w:val="000000" w:themeColor="text1"/>
          <w:sz w:val="28"/>
          <w:szCs w:val="28"/>
          <w14:textFill>
            <w14:solidFill>
              <w14:schemeClr w14:val="tx1"/>
            </w14:solidFill>
          </w14:textFill>
        </w:rPr>
        <w:t>了</w:t>
      </w:r>
      <w:r>
        <w:rPr>
          <w:rFonts w:ascii="仿宋" w:hAnsi="仿宋" w:eastAsia="仿宋"/>
          <w:color w:val="000000" w:themeColor="text1"/>
          <w:sz w:val="28"/>
          <w:szCs w:val="28"/>
          <w14:textFill>
            <w14:solidFill>
              <w14:schemeClr w14:val="tx1"/>
            </w14:solidFill>
          </w14:textFill>
        </w:rPr>
        <w:t>实</w:t>
      </w:r>
      <w:r>
        <w:rPr>
          <w:rFonts w:hint="eastAsia" w:ascii="仿宋" w:hAnsi="仿宋" w:eastAsia="仿宋"/>
          <w:color w:val="000000" w:themeColor="text1"/>
          <w:sz w:val="28"/>
          <w:szCs w:val="28"/>
          <w14:textFill>
            <w14:solidFill>
              <w14:schemeClr w14:val="tx1"/>
            </w14:solidFill>
          </w14:textFill>
        </w:rPr>
        <w:t>质</w:t>
      </w:r>
      <w:r>
        <w:rPr>
          <w:rFonts w:ascii="仿宋" w:hAnsi="仿宋" w:eastAsia="仿宋"/>
          <w:color w:val="000000" w:themeColor="text1"/>
          <w:sz w:val="28"/>
          <w:szCs w:val="28"/>
          <w14:textFill>
            <w14:solidFill>
              <w14:schemeClr w14:val="tx1"/>
            </w14:solidFill>
          </w14:textFill>
        </w:rPr>
        <w:t>性突破</w:t>
      </w:r>
      <w:r>
        <w:rPr>
          <w:rFonts w:hint="eastAsia" w:ascii="仿宋" w:hAnsi="仿宋" w:eastAsia="仿宋"/>
          <w:color w:val="000000" w:themeColor="text1"/>
          <w:sz w:val="28"/>
          <w:szCs w:val="28"/>
          <w14:textFill>
            <w14:solidFill>
              <w14:schemeClr w14:val="tx1"/>
            </w14:solidFill>
          </w14:textFill>
        </w:rPr>
        <w:t>。进一步优化领导推进体制、理论研究机制、教师培训机制、质量保障机制、基层党组织引领机制、考核激励机制、协同育人机制、“思政+专业”教师队伍协同机制等八大建设，总体上构建了应用型高校课程思政建设模式。初步完成市教委部署的制药类、食品科学与工程专业课程思政指南编制，同步在材料类等5个优势专业开展指南编制。6个领航学院对标领航校建设目标，在体制机制建设发力建设，不断发挥示范作用，引领学校其他学院，实现课程思政建设的教师全覆盖、课程全覆盖。领航团队依据课程思政建设要求，发挥专业责任</w:t>
      </w:r>
      <w:r>
        <w:rPr>
          <w:rFonts w:ascii="仿宋" w:hAnsi="仿宋" w:eastAsia="仿宋"/>
          <w:color w:val="000000" w:themeColor="text1"/>
          <w:sz w:val="28"/>
          <w:szCs w:val="28"/>
          <w14:textFill>
            <w14:solidFill>
              <w14:schemeClr w14:val="tx1"/>
            </w14:solidFill>
          </w14:textFill>
        </w:rPr>
        <w:t>教授和教研室的作用</w:t>
      </w:r>
      <w:r>
        <w:rPr>
          <w:rFonts w:hint="eastAsia" w:ascii="仿宋" w:hAnsi="仿宋" w:eastAsia="仿宋"/>
          <w:color w:val="000000" w:themeColor="text1"/>
          <w:sz w:val="28"/>
          <w:szCs w:val="28"/>
          <w14:textFill>
            <w14:solidFill>
              <w14:schemeClr w14:val="tx1"/>
            </w14:solidFill>
          </w14:textFill>
        </w:rPr>
        <w:t>，完成专业人才培养方案及课程大纲修订。131门领航课程对标学校的课程思政“荣誉课程—示范课程—重点课程”三级领航课程质量标准，优化教学设计，提升课程育人成效，并形成多个典型案例。</w:t>
      </w:r>
    </w:p>
    <w:p>
      <w:pPr>
        <w:spacing w:line="360" w:lineRule="auto"/>
        <w:ind w:firstLine="709"/>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学校党委书记郭庆松代表我校，与复旦大学、同济大学和华东师范大学分别在2020年上海高校课程思政教育教学改革工作推进会作交流发言，有效推进上海高校课程思政建设。此外，学校承办2020年上海高校课程思政建设研讨会的分论坛，有效推广宣传我校建设经验。</w:t>
      </w:r>
    </w:p>
    <w:p>
      <w:pPr>
        <w:spacing w:line="360" w:lineRule="auto"/>
        <w:ind w:firstLine="551" w:firstLineChars="196"/>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二</w:t>
      </w:r>
      <w:r>
        <w:rPr>
          <w:rFonts w:ascii="仿宋" w:hAnsi="仿宋" w:eastAsia="仿宋"/>
          <w:b/>
          <w:color w:val="000000" w:themeColor="text1"/>
          <w:sz w:val="28"/>
          <w:szCs w:val="28"/>
          <w14:textFill>
            <w14:solidFill>
              <w14:schemeClr w14:val="tx1"/>
            </w14:solidFill>
          </w14:textFill>
        </w:rPr>
        <w:t>、</w:t>
      </w:r>
      <w:r>
        <w:rPr>
          <w:rFonts w:hint="eastAsia" w:ascii="仿宋" w:hAnsi="仿宋" w:eastAsia="仿宋"/>
          <w:b/>
          <w:color w:val="000000" w:themeColor="text1"/>
          <w:sz w:val="28"/>
          <w:szCs w:val="28"/>
          <w14:textFill>
            <w14:solidFill>
              <w14:schemeClr w14:val="tx1"/>
            </w14:solidFill>
          </w14:textFill>
        </w:rPr>
        <w:t>五大工程建设情况</w:t>
      </w:r>
    </w:p>
    <w:p>
      <w:pPr>
        <w:spacing w:line="360" w:lineRule="auto"/>
        <w:ind w:firstLine="548" w:firstLineChars="196"/>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以“金课”建设为核心</w:t>
      </w:r>
      <w:r>
        <w:rPr>
          <w:rFonts w:ascii="仿宋" w:hAnsi="仿宋" w:eastAsia="仿宋"/>
          <w:color w:val="000000" w:themeColor="text1"/>
          <w:sz w:val="28"/>
          <w:szCs w:val="28"/>
          <w14:textFill>
            <w14:solidFill>
              <w14:schemeClr w14:val="tx1"/>
            </w14:solidFill>
          </w14:textFill>
        </w:rPr>
        <w:t>，统筹推进</w:t>
      </w:r>
      <w:r>
        <w:rPr>
          <w:rFonts w:hint="eastAsia" w:ascii="仿宋" w:hAnsi="仿宋" w:eastAsia="仿宋"/>
          <w:color w:val="000000" w:themeColor="text1"/>
          <w:sz w:val="28"/>
          <w:szCs w:val="28"/>
          <w14:textFill>
            <w14:solidFill>
              <w14:schemeClr w14:val="tx1"/>
            </w14:solidFill>
          </w14:textFill>
        </w:rPr>
        <w:t>课程思政“五大工程”，明确各项工程的</w:t>
      </w:r>
      <w:r>
        <w:rPr>
          <w:rFonts w:ascii="仿宋" w:hAnsi="仿宋" w:eastAsia="仿宋"/>
          <w:color w:val="000000" w:themeColor="text1"/>
          <w:sz w:val="28"/>
          <w:szCs w:val="28"/>
          <w14:textFill>
            <w14:solidFill>
              <w14:schemeClr w14:val="tx1"/>
            </w14:solidFill>
          </w14:textFill>
        </w:rPr>
        <w:t>牵头部门</w:t>
      </w:r>
      <w:r>
        <w:rPr>
          <w:rFonts w:hint="eastAsia" w:ascii="仿宋" w:hAnsi="仿宋" w:eastAsia="仿宋"/>
          <w:color w:val="000000" w:themeColor="text1"/>
          <w:sz w:val="28"/>
          <w:szCs w:val="28"/>
          <w14:textFill>
            <w14:solidFill>
              <w14:schemeClr w14:val="tx1"/>
            </w14:solidFill>
          </w14:textFill>
        </w:rPr>
        <w:t>，</w:t>
      </w:r>
      <w:r>
        <w:rPr>
          <w:rFonts w:ascii="仿宋" w:hAnsi="仿宋" w:eastAsia="仿宋"/>
          <w:color w:val="000000" w:themeColor="text1"/>
          <w:sz w:val="28"/>
          <w:szCs w:val="28"/>
          <w14:textFill>
            <w14:solidFill>
              <w14:schemeClr w14:val="tx1"/>
            </w14:solidFill>
          </w14:textFill>
        </w:rPr>
        <w:t>分别</w:t>
      </w:r>
      <w:r>
        <w:rPr>
          <w:rFonts w:hint="eastAsia" w:ascii="仿宋" w:hAnsi="仿宋" w:eastAsia="仿宋"/>
          <w:color w:val="000000" w:themeColor="text1"/>
          <w:sz w:val="28"/>
          <w:szCs w:val="28"/>
          <w14:textFill>
            <w14:solidFill>
              <w14:schemeClr w14:val="tx1"/>
            </w14:solidFill>
          </w14:textFill>
        </w:rPr>
        <w:t>结合</w:t>
      </w:r>
      <w:r>
        <w:rPr>
          <w:rFonts w:ascii="仿宋" w:hAnsi="仿宋" w:eastAsia="仿宋"/>
          <w:color w:val="000000" w:themeColor="text1"/>
          <w:sz w:val="28"/>
          <w:szCs w:val="28"/>
          <w14:textFill>
            <w14:solidFill>
              <w14:schemeClr w14:val="tx1"/>
            </w14:solidFill>
          </w14:textFill>
        </w:rPr>
        <w:t>主要建设任务制定</w:t>
      </w:r>
      <w:r>
        <w:rPr>
          <w:rFonts w:hint="eastAsia" w:ascii="仿宋" w:hAnsi="仿宋" w:eastAsia="仿宋"/>
          <w:color w:val="000000" w:themeColor="text1"/>
          <w:sz w:val="28"/>
          <w:szCs w:val="28"/>
          <w14:textFill>
            <w14:solidFill>
              <w14:schemeClr w14:val="tx1"/>
            </w14:solidFill>
          </w14:textFill>
        </w:rPr>
        <w:t>2020年的</w:t>
      </w:r>
      <w:r>
        <w:rPr>
          <w:rFonts w:ascii="仿宋" w:hAnsi="仿宋" w:eastAsia="仿宋"/>
          <w:color w:val="000000" w:themeColor="text1"/>
          <w:sz w:val="28"/>
          <w:szCs w:val="28"/>
          <w14:textFill>
            <w14:solidFill>
              <w14:schemeClr w14:val="tx1"/>
            </w14:solidFill>
          </w14:textFill>
        </w:rPr>
        <w:t>具体</w:t>
      </w:r>
      <w:r>
        <w:rPr>
          <w:rFonts w:hint="eastAsia" w:ascii="仿宋" w:hAnsi="仿宋" w:eastAsia="仿宋"/>
          <w:color w:val="000000" w:themeColor="text1"/>
          <w:sz w:val="28"/>
          <w:szCs w:val="28"/>
          <w14:textFill>
            <w14:solidFill>
              <w14:schemeClr w14:val="tx1"/>
            </w14:solidFill>
          </w14:textFill>
        </w:rPr>
        <w:t>目标</w:t>
      </w:r>
      <w:r>
        <w:rPr>
          <w:rFonts w:ascii="仿宋" w:hAnsi="仿宋" w:eastAsia="仿宋"/>
          <w:color w:val="000000" w:themeColor="text1"/>
          <w:sz w:val="28"/>
          <w:szCs w:val="28"/>
          <w14:textFill>
            <w14:solidFill>
              <w14:schemeClr w14:val="tx1"/>
            </w14:solidFill>
          </w14:textFill>
        </w:rPr>
        <w:t>和举措</w:t>
      </w:r>
      <w:r>
        <w:rPr>
          <w:rFonts w:hint="eastAsia" w:ascii="仿宋" w:hAnsi="仿宋" w:eastAsia="仿宋"/>
          <w:color w:val="000000" w:themeColor="text1"/>
          <w:sz w:val="28"/>
          <w:szCs w:val="28"/>
          <w14:textFill>
            <w14:solidFill>
              <w14:schemeClr w14:val="tx1"/>
            </w14:solidFill>
          </w14:textFill>
        </w:rPr>
        <w:t>，并取得显著成效</w:t>
      </w:r>
      <w:r>
        <w:rPr>
          <w:rFonts w:ascii="仿宋" w:hAnsi="仿宋" w:eastAsia="仿宋"/>
          <w:color w:val="000000" w:themeColor="text1"/>
          <w:sz w:val="28"/>
          <w:szCs w:val="28"/>
          <w14:textFill>
            <w14:solidFill>
              <w14:schemeClr w14:val="tx1"/>
            </w14:solidFill>
          </w14:textFill>
        </w:rPr>
        <w:t>。</w:t>
      </w:r>
    </w:p>
    <w:p>
      <w:pPr>
        <w:spacing w:line="360" w:lineRule="auto"/>
        <w:ind w:firstLine="551" w:firstLineChars="196"/>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（一）金课建设工程</w:t>
      </w:r>
    </w:p>
    <w:p>
      <w:pPr>
        <w:spacing w:line="360" w:lineRule="auto"/>
        <w:ind w:firstLine="548" w:firstLineChars="196"/>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教务处、研究生院牵头，发挥马克思主义学院的学科引领作用，通过打造由专业课程授课教师、马克思主义学院教师、辅导员等组成的课程育人团队，强化课程思政赋能“金课”建设的原则，一体化推进课程思政改革和市级及以上重点课程、一流课程建设。进一步推进信息技术与课程教学的融合，保证课程思政赋能“金课”建设机制落地开花结果，</w:t>
      </w:r>
      <w:r>
        <w:rPr>
          <w:rFonts w:hint="eastAsia" w:ascii="仿宋" w:hAnsi="仿宋" w:eastAsia="仿宋"/>
          <w:sz w:val="28"/>
          <w:szCs w:val="28"/>
        </w:rPr>
        <w:t>紧扣“三位一体、三问致新、三维出彩”，</w:t>
      </w:r>
      <w:r>
        <w:rPr>
          <w:rFonts w:hint="eastAsia" w:ascii="仿宋" w:hAnsi="仿宋" w:eastAsia="仿宋"/>
          <w:color w:val="000000" w:themeColor="text1"/>
          <w:sz w:val="28"/>
          <w:szCs w:val="28"/>
          <w14:textFill>
            <w14:solidFill>
              <w14:schemeClr w14:val="tx1"/>
            </w14:solidFill>
          </w14:textFill>
        </w:rPr>
        <w:t>构建了包含131门课程的“荣誉课程—示范课程—重点课程”三级领航课程体系。</w:t>
      </w:r>
    </w:p>
    <w:p>
      <w:pPr>
        <w:spacing w:line="360" w:lineRule="auto"/>
        <w:ind w:firstLine="548" w:firstLineChars="196"/>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领航课程充分发挥示范引领作用，从教学方法、教学设计、教学反思等方面改进课程育人成效，凝练多个教学案例，为出版《厚德精技——应用型本科课程思政教学设计50例》提供了扎实基础，预计该书将于2021年上半年出版。</w:t>
      </w:r>
    </w:p>
    <w:p>
      <w:pPr>
        <w:spacing w:line="360" w:lineRule="auto"/>
        <w:ind w:firstLine="551" w:firstLineChars="196"/>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（二）名师培育工程</w:t>
      </w:r>
    </w:p>
    <w:p>
      <w:pPr>
        <w:spacing w:line="360" w:lineRule="auto"/>
        <w:ind w:firstLine="548" w:firstLineChars="196"/>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党委教师工作部牵头，发挥各学院主体作用，依托《学校课程思政领航计划负责人及骨干教师培训方案》，科学化地、精细化地开展各学院教师的育德能力培训，既加强</w:t>
      </w:r>
      <w:r>
        <w:rPr>
          <w:rFonts w:ascii="仿宋" w:hAnsi="仿宋" w:eastAsia="仿宋"/>
          <w:color w:val="000000" w:themeColor="text1"/>
          <w:sz w:val="28"/>
          <w:szCs w:val="28"/>
          <w14:textFill>
            <w14:solidFill>
              <w14:schemeClr w14:val="tx1"/>
            </w14:solidFill>
          </w14:textFill>
        </w:rPr>
        <w:t>“</w:t>
      </w:r>
      <w:r>
        <w:rPr>
          <w:rFonts w:hint="eastAsia" w:ascii="仿宋" w:hAnsi="仿宋" w:eastAsia="仿宋"/>
          <w:color w:val="000000" w:themeColor="text1"/>
          <w:sz w:val="28"/>
          <w:szCs w:val="28"/>
          <w14:textFill>
            <w14:solidFill>
              <w14:schemeClr w14:val="tx1"/>
            </w14:solidFill>
          </w14:textFill>
        </w:rPr>
        <w:t>重点人</w:t>
      </w:r>
      <w:r>
        <w:rPr>
          <w:rFonts w:ascii="仿宋" w:hAnsi="仿宋" w:eastAsia="仿宋"/>
          <w:color w:val="000000" w:themeColor="text1"/>
          <w:sz w:val="28"/>
          <w:szCs w:val="28"/>
          <w14:textFill>
            <w14:solidFill>
              <w14:schemeClr w14:val="tx1"/>
            </w14:solidFill>
          </w14:textFill>
        </w:rPr>
        <w:t>（</w:t>
      </w:r>
      <w:r>
        <w:rPr>
          <w:rFonts w:hint="eastAsia" w:ascii="仿宋" w:hAnsi="仿宋" w:eastAsia="仿宋"/>
          <w:color w:val="000000" w:themeColor="text1"/>
          <w:sz w:val="28"/>
          <w:szCs w:val="28"/>
          <w14:textFill>
            <w14:solidFill>
              <w14:schemeClr w14:val="tx1"/>
            </w14:solidFill>
          </w14:textFill>
        </w:rPr>
        <w:t>学院</w:t>
      </w:r>
      <w:r>
        <w:rPr>
          <w:rFonts w:ascii="仿宋" w:hAnsi="仿宋" w:eastAsia="仿宋"/>
          <w:color w:val="000000" w:themeColor="text1"/>
          <w:sz w:val="28"/>
          <w:szCs w:val="28"/>
          <w14:textFill>
            <w14:solidFill>
              <w14:schemeClr w14:val="tx1"/>
            </w14:solidFill>
          </w14:textFill>
        </w:rPr>
        <w:t>院长</w:t>
      </w:r>
      <w:r>
        <w:rPr>
          <w:rFonts w:hint="eastAsia" w:ascii="仿宋" w:hAnsi="仿宋" w:eastAsia="仿宋"/>
          <w:color w:val="000000" w:themeColor="text1"/>
          <w:sz w:val="28"/>
          <w:szCs w:val="28"/>
          <w14:textFill>
            <w14:solidFill>
              <w14:schemeClr w14:val="tx1"/>
            </w14:solidFill>
          </w14:textFill>
        </w:rPr>
        <w:t>、书记，领航团队和课程负责人</w:t>
      </w:r>
      <w:r>
        <w:rPr>
          <w:rFonts w:ascii="仿宋" w:hAnsi="仿宋" w:eastAsia="仿宋"/>
          <w:color w:val="000000" w:themeColor="text1"/>
          <w:sz w:val="28"/>
          <w:szCs w:val="28"/>
          <w14:textFill>
            <w14:solidFill>
              <w14:schemeClr w14:val="tx1"/>
            </w14:solidFill>
          </w14:textFill>
        </w:rPr>
        <w:t>）”</w:t>
      </w:r>
      <w:r>
        <w:rPr>
          <w:rFonts w:hint="eastAsia" w:ascii="仿宋" w:hAnsi="仿宋" w:eastAsia="仿宋"/>
          <w:color w:val="000000" w:themeColor="text1"/>
          <w:sz w:val="28"/>
          <w:szCs w:val="28"/>
          <w14:textFill>
            <w14:solidFill>
              <w14:schemeClr w14:val="tx1"/>
            </w14:solidFill>
          </w14:textFill>
        </w:rPr>
        <w:t>“</w:t>
      </w:r>
      <w:r>
        <w:rPr>
          <w:rFonts w:ascii="仿宋" w:hAnsi="仿宋" w:eastAsia="仿宋"/>
          <w:color w:val="000000" w:themeColor="text1"/>
          <w:sz w:val="28"/>
          <w:szCs w:val="28"/>
          <w14:textFill>
            <w14:solidFill>
              <w14:schemeClr w14:val="tx1"/>
            </w14:solidFill>
          </w14:textFill>
        </w:rPr>
        <w:t>重点</w:t>
      </w:r>
      <w:r>
        <w:rPr>
          <w:rFonts w:hint="eastAsia" w:ascii="仿宋" w:hAnsi="仿宋" w:eastAsia="仿宋"/>
          <w:color w:val="000000" w:themeColor="text1"/>
          <w:sz w:val="28"/>
          <w:szCs w:val="28"/>
          <w14:textFill>
            <w14:solidFill>
              <w14:schemeClr w14:val="tx1"/>
            </w14:solidFill>
          </w14:textFill>
        </w:rPr>
        <w:t>事（研制</w:t>
      </w:r>
      <w:r>
        <w:rPr>
          <w:rFonts w:ascii="仿宋" w:hAnsi="仿宋" w:eastAsia="仿宋"/>
          <w:color w:val="000000" w:themeColor="text1"/>
          <w:sz w:val="28"/>
          <w:szCs w:val="28"/>
          <w14:textFill>
            <w14:solidFill>
              <w14:schemeClr w14:val="tx1"/>
            </w14:solidFill>
          </w14:textFill>
        </w:rPr>
        <w:t>教学指南</w:t>
      </w:r>
      <w:r>
        <w:rPr>
          <w:rFonts w:hint="eastAsia" w:ascii="仿宋" w:hAnsi="仿宋" w:eastAsia="仿宋"/>
          <w:color w:val="000000" w:themeColor="text1"/>
          <w:sz w:val="28"/>
          <w:szCs w:val="28"/>
          <w14:textFill>
            <w14:solidFill>
              <w14:schemeClr w14:val="tx1"/>
            </w14:solidFill>
          </w14:textFill>
        </w:rPr>
        <w:t>、体制机制建设）”的</w:t>
      </w:r>
      <w:r>
        <w:rPr>
          <w:rFonts w:ascii="仿宋" w:hAnsi="仿宋" w:eastAsia="仿宋"/>
          <w:color w:val="000000" w:themeColor="text1"/>
          <w:sz w:val="28"/>
          <w:szCs w:val="28"/>
          <w14:textFill>
            <w14:solidFill>
              <w14:schemeClr w14:val="tx1"/>
            </w14:solidFill>
          </w14:textFill>
        </w:rPr>
        <w:t>专题培训</w:t>
      </w:r>
      <w:r>
        <w:rPr>
          <w:rFonts w:hint="eastAsia" w:ascii="仿宋" w:hAnsi="仿宋" w:eastAsia="仿宋"/>
          <w:color w:val="000000" w:themeColor="text1"/>
          <w:sz w:val="28"/>
          <w:szCs w:val="28"/>
          <w14:textFill>
            <w14:solidFill>
              <w14:schemeClr w14:val="tx1"/>
            </w14:solidFill>
          </w14:textFill>
        </w:rPr>
        <w:t>，也做实全校全体教师的</w:t>
      </w:r>
      <w:r>
        <w:rPr>
          <w:rFonts w:ascii="仿宋" w:hAnsi="仿宋" w:eastAsia="仿宋"/>
          <w:color w:val="000000" w:themeColor="text1"/>
          <w:sz w:val="28"/>
          <w:szCs w:val="28"/>
          <w14:textFill>
            <w14:solidFill>
              <w14:schemeClr w14:val="tx1"/>
            </w14:solidFill>
          </w14:textFill>
        </w:rPr>
        <w:t>常规培训</w:t>
      </w:r>
      <w:r>
        <w:rPr>
          <w:rFonts w:hint="eastAsia" w:ascii="仿宋" w:hAnsi="仿宋" w:eastAsia="仿宋"/>
          <w:color w:val="000000" w:themeColor="text1"/>
          <w:sz w:val="28"/>
          <w:szCs w:val="28"/>
          <w14:textFill>
            <w14:solidFill>
              <w14:schemeClr w14:val="tx1"/>
            </w14:solidFill>
          </w14:textFill>
        </w:rPr>
        <w:t>。</w:t>
      </w:r>
    </w:p>
    <w:p>
      <w:pPr>
        <w:spacing w:line="360" w:lineRule="auto"/>
        <w:ind w:firstLine="548" w:firstLineChars="196"/>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本年度邀请教育部思政理论课教学指导委员会副主任、上海市人大外事委员会主任、原上海市教卫工作党委副书记高德毅等专家，组织明德讲坛、教师沙龙、教学设计竞赛等一系列活动，围绕课程思政建设举办明德讲坛报告20次、开展教师沙龙15次，教师育德能力得到进一步增强。</w:t>
      </w:r>
    </w:p>
    <w:p>
      <w:pPr>
        <w:spacing w:line="360" w:lineRule="auto"/>
        <w:ind w:firstLine="551" w:firstLineChars="196"/>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（三）质量保障工程</w:t>
      </w:r>
    </w:p>
    <w:p>
      <w:pPr>
        <w:spacing w:line="360" w:lineRule="auto"/>
        <w:ind w:firstLine="548" w:firstLineChars="196"/>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在全面完成修订新一轮本科人才培养方案和教学大纲的基础上，学校以教育部和上海市教委出台的相关专业及课程建设、专业类教学质量标准和专业认证要求等文件为依据，融入课程思政建设要求，修订了</w:t>
      </w:r>
      <w:r>
        <w:rPr>
          <w:rFonts w:ascii="仿宋" w:hAnsi="仿宋" w:eastAsia="仿宋"/>
          <w:color w:val="000000" w:themeColor="text1"/>
          <w:sz w:val="28"/>
          <w:szCs w:val="28"/>
          <w14:textFill>
            <w14:solidFill>
              <w14:schemeClr w14:val="tx1"/>
            </w14:solidFill>
          </w14:textFill>
        </w:rPr>
        <w:t>11项本科教学质量标准，涵盖了</w:t>
      </w:r>
      <w:r>
        <w:rPr>
          <w:rFonts w:hint="eastAsia" w:ascii="仿宋" w:hAnsi="仿宋" w:eastAsia="仿宋"/>
          <w:color w:val="000000" w:themeColor="text1"/>
          <w:sz w:val="28"/>
          <w:szCs w:val="28"/>
          <w14:textFill>
            <w14:solidFill>
              <w14:schemeClr w14:val="tx1"/>
            </w14:solidFill>
          </w14:textFill>
        </w:rPr>
        <w:t>专业建设、课程教学、实践教学和毕业设计等人才培养的主要环节，为课程思政建设提供建设标准及要求，实现了课程思政教师全覆盖、课程全覆盖。</w:t>
      </w:r>
    </w:p>
    <w:p>
      <w:pPr>
        <w:spacing w:line="360" w:lineRule="auto"/>
        <w:ind w:firstLine="548" w:firstLineChars="196"/>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在修订本科教学质量标准的过程中，着重体现以下三个方面：一是基于产出导向强化整体设计，更加明确不同质量标准之间的逻辑关系和相互呼应。二是围绕学生中心修订标准内涵，力图使质量标准的内容更加可评价、可操作。三是突出课程教学在质量保障中的核心地位，明确学校、学院和基层教学组织在基于标准持续改进教学质量中的责任内容。</w:t>
      </w:r>
    </w:p>
    <w:p>
      <w:pPr>
        <w:spacing w:line="360" w:lineRule="auto"/>
        <w:ind w:firstLine="551" w:firstLineChars="196"/>
        <w:rPr>
          <w:rFonts w:ascii="仿宋" w:hAnsi="仿宋" w:eastAsia="仿宋"/>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（四）理论研究工程</w:t>
      </w:r>
    </w:p>
    <w:p>
      <w:pPr>
        <w:spacing w:line="360" w:lineRule="auto"/>
        <w:ind w:firstLine="548" w:firstLineChars="196"/>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学校充分发挥课程思政研究中心的研究功能，不断挖掘课程思政的内在规律，促进课程思政的理论研究和实践探索。2020年启动第一批次课程思政专项研究课题建设工作，经校内、外专家对申报的73项课题进行评审，33项课题获批立项，其中重点课题8项，委托课题5项，一般课题20项。课题围绕“五大工程”开展研究，15篇论文被思想理论教育等期刊收录现。</w:t>
      </w:r>
    </w:p>
    <w:p>
      <w:pPr>
        <w:spacing w:line="360" w:lineRule="auto"/>
        <w:ind w:firstLine="548" w:firstLineChars="196"/>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2020年下半年，课程思政教育教学改革办公室对33项课题，从理论成果、育人成效、教学交流等多个方面进行了检查及评议，一致通过所有课题的检查。</w:t>
      </w:r>
    </w:p>
    <w:p>
      <w:pPr>
        <w:spacing w:line="360" w:lineRule="auto"/>
        <w:ind w:firstLine="551" w:firstLineChars="196"/>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（五）考核激励工程</w:t>
      </w:r>
    </w:p>
    <w:p>
      <w:pPr>
        <w:spacing w:line="360" w:lineRule="auto"/>
        <w:ind w:firstLine="548" w:firstLineChars="196"/>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本年度从课程思政的过程与效果两个维度加强学院（部）考核激励。由课程思政教学改革办公室制订包括组织管理及体制机制建设、课程和教师覆盖面及学生受益面、课程思政内容融入课程大纲或教案以及形成课程思政思政指南、宣传报道的影响力和辐射面五大部分共计25个观察点的考核指标。全校16相关学院（部）按季度提交材料，由学校课程思政教学指导委员会、课程思政教学改革办公室对其进行过程化考核，并完成考核结果挂钩学院（部）的绩效经费分配工作。</w:t>
      </w:r>
    </w:p>
    <w:p>
      <w:pPr>
        <w:spacing w:line="360" w:lineRule="auto"/>
        <w:ind w:firstLine="548" w:firstLineChars="196"/>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本年度，多个学院将课程思政建设纳入教师年度考核，并在教师职务（职称）评聘、评优奖励、各类人才项目评选中，把课程思政的教育教学改革效果作为考核的重要内容。</w:t>
      </w:r>
    </w:p>
    <w:p>
      <w:pPr>
        <w:spacing w:line="360" w:lineRule="auto"/>
        <w:ind w:firstLine="551" w:firstLineChars="196"/>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三</w:t>
      </w:r>
      <w:r>
        <w:rPr>
          <w:rFonts w:ascii="仿宋" w:hAnsi="仿宋" w:eastAsia="仿宋"/>
          <w:b/>
          <w:color w:val="000000" w:themeColor="text1"/>
          <w:sz w:val="28"/>
          <w:szCs w:val="28"/>
          <w14:textFill>
            <w14:solidFill>
              <w14:schemeClr w14:val="tx1"/>
            </w14:solidFill>
          </w14:textFill>
        </w:rPr>
        <w:t>、</w:t>
      </w:r>
      <w:r>
        <w:rPr>
          <w:rFonts w:hint="eastAsia" w:ascii="仿宋" w:hAnsi="仿宋" w:eastAsia="仿宋"/>
          <w:b/>
          <w:color w:val="000000" w:themeColor="text1"/>
          <w:sz w:val="28"/>
          <w:szCs w:val="28"/>
          <w14:textFill>
            <w14:solidFill>
              <w14:schemeClr w14:val="tx1"/>
            </w14:solidFill>
          </w14:textFill>
        </w:rPr>
        <w:t>重点工作取得成效</w:t>
      </w:r>
    </w:p>
    <w:p>
      <w:pPr>
        <w:spacing w:line="360" w:lineRule="auto"/>
        <w:ind w:firstLine="551" w:firstLineChars="196"/>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（一）课程思政改革整体认识进一步提升</w:t>
      </w:r>
    </w:p>
    <w:p>
      <w:pPr>
        <w:spacing w:line="360" w:lineRule="auto"/>
        <w:ind w:firstLine="709"/>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学校举行课程思政整体改革建设推进会，明确课程思政建设要做好三个回归：一是回归学校育人本位；二是回归教书育人本位；三是回归学生本位。在工作推进中牢固树立卓越意识、创新意识、协同意识、开放意识、品牌意识等五个意识，在长效机制、教师培训、骨干人才培育、溢出效应、课程思政研究等五个方面积极发挥领航作用。为进一步深化人才培养“ASciT-OBE”模式提供了有效实施路径，即回答并践行好“六问”：一问产业需求建专业，二问技术发展改内容，三问学校主体推改革，四问学生志趣变方法，五问内外资源创条件，六问国际前沿立标准；同时以“六个融合”为路径，即产教融合、科教融合、创教融合、赛教融合、通专融合和跨学科交叉融合；共同促进课程思政建设进阶升级。</w:t>
      </w:r>
    </w:p>
    <w:p>
      <w:pPr>
        <w:spacing w:line="360" w:lineRule="auto"/>
        <w:ind w:firstLine="551" w:firstLineChars="196"/>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（二）领航学院、领航团队建设方案进一步明确</w:t>
      </w:r>
    </w:p>
    <w:p>
      <w:pPr>
        <w:spacing w:line="360" w:lineRule="auto"/>
        <w:ind w:firstLine="709"/>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相关</w:t>
      </w:r>
      <w:r>
        <w:rPr>
          <w:rFonts w:ascii="仿宋" w:hAnsi="仿宋" w:eastAsia="仿宋"/>
          <w:color w:val="000000" w:themeColor="text1"/>
          <w:sz w:val="28"/>
          <w:szCs w:val="28"/>
          <w14:textFill>
            <w14:solidFill>
              <w14:schemeClr w14:val="tx1"/>
            </w14:solidFill>
          </w14:textFill>
        </w:rPr>
        <w:t>学院</w:t>
      </w:r>
      <w:r>
        <w:rPr>
          <w:rFonts w:hint="eastAsia" w:ascii="仿宋" w:hAnsi="仿宋" w:eastAsia="仿宋"/>
          <w:color w:val="000000" w:themeColor="text1"/>
          <w:sz w:val="28"/>
          <w:szCs w:val="28"/>
          <w14:textFill>
            <w14:solidFill>
              <w14:schemeClr w14:val="tx1"/>
            </w14:solidFill>
          </w14:textFill>
        </w:rPr>
        <w:t>立足</w:t>
      </w:r>
      <w:r>
        <w:rPr>
          <w:rFonts w:ascii="仿宋" w:hAnsi="仿宋" w:eastAsia="仿宋"/>
          <w:color w:val="000000" w:themeColor="text1"/>
          <w:sz w:val="28"/>
          <w:szCs w:val="28"/>
          <w14:textFill>
            <w14:solidFill>
              <w14:schemeClr w14:val="tx1"/>
            </w14:solidFill>
          </w14:textFill>
        </w:rPr>
        <w:t>各自的学科专业特色</w:t>
      </w:r>
      <w:r>
        <w:rPr>
          <w:rFonts w:hint="eastAsia" w:ascii="仿宋" w:hAnsi="仿宋" w:eastAsia="仿宋"/>
          <w:color w:val="000000" w:themeColor="text1"/>
          <w:sz w:val="28"/>
          <w:szCs w:val="28"/>
          <w14:textFill>
            <w14:solidFill>
              <w14:schemeClr w14:val="tx1"/>
            </w14:solidFill>
          </w14:textFill>
        </w:rPr>
        <w:t>，从</w:t>
      </w:r>
      <w:r>
        <w:rPr>
          <w:rFonts w:ascii="仿宋" w:hAnsi="仿宋" w:eastAsia="仿宋"/>
          <w:color w:val="000000" w:themeColor="text1"/>
          <w:sz w:val="28"/>
          <w:szCs w:val="28"/>
          <w14:textFill>
            <w14:solidFill>
              <w14:schemeClr w14:val="tx1"/>
            </w14:solidFill>
          </w14:textFill>
        </w:rPr>
        <w:t>组织管理体制、</w:t>
      </w:r>
      <w:r>
        <w:rPr>
          <w:rFonts w:hint="eastAsia" w:ascii="仿宋" w:hAnsi="仿宋" w:eastAsia="仿宋"/>
          <w:color w:val="000000" w:themeColor="text1"/>
          <w:sz w:val="28"/>
          <w:szCs w:val="28"/>
          <w14:textFill>
            <w14:solidFill>
              <w14:schemeClr w14:val="tx1"/>
            </w14:solidFill>
          </w14:textFill>
        </w:rPr>
        <w:t>教师培训制度、教研制度、考核激励制度、“金课”建设机制等体制机制建设，围绕落实领航学院、领航团队、领航课程建设任务与目标</w:t>
      </w:r>
      <w:r>
        <w:rPr>
          <w:rFonts w:ascii="仿宋" w:hAnsi="仿宋" w:eastAsia="仿宋"/>
          <w:color w:val="000000" w:themeColor="text1"/>
          <w:sz w:val="28"/>
          <w:szCs w:val="28"/>
          <w14:textFill>
            <w14:solidFill>
              <w14:schemeClr w14:val="tx1"/>
            </w14:solidFill>
          </w14:textFill>
        </w:rPr>
        <w:t>，</w:t>
      </w:r>
      <w:r>
        <w:rPr>
          <w:rFonts w:hint="eastAsia" w:ascii="仿宋" w:hAnsi="仿宋" w:eastAsia="仿宋"/>
          <w:color w:val="000000" w:themeColor="text1"/>
          <w:sz w:val="28"/>
          <w:szCs w:val="28"/>
          <w14:textFill>
            <w14:solidFill>
              <w14:schemeClr w14:val="tx1"/>
            </w14:solidFill>
          </w14:textFill>
        </w:rPr>
        <w:t>形成领航学院建设方案6个、领航团队建设方案13个。一系列的建设方案的出台与实施，进一步引导和保障教师更加乐于课程思政改革、更加擅长课程思政改革、更加坚持课程思政改革，整体提升全校课程思政教育教学改革的质量和水平。</w:t>
      </w:r>
    </w:p>
    <w:p>
      <w:pPr>
        <w:spacing w:line="360" w:lineRule="auto"/>
        <w:ind w:firstLine="709"/>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在建设机制上更加完备。例如，从师资、团队、教学等方面，形成一套学院管理与建设机制；该学院材刘敏老师依托领航团队育人优势，将思政元素融入教学设计，获上海市青教赛一等奖。城建建设与安全工程学院将课程思政与“四史”教育、现场学习、主题党日和专家辅导有机结合。。化工学院形成了“2+2+N” 的专业思政工作格局。经济与管理强化激励措施，抓课程大纲修订、案例教学、教学方法设计。</w:t>
      </w:r>
    </w:p>
    <w:p>
      <w:pPr>
        <w:spacing w:line="360" w:lineRule="auto"/>
        <w:ind w:firstLine="709"/>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在实施方案更加细化。例如，化工与环境工程学院凝炼学科文化，彰显课程特色，践行“绿色、环保、生态文明”理念，推动课程思政建设。香料香精化妆品学部对接美丽健康产业，发挥全国优秀教师的引领作用，推进课程思政建设。城市建设与安全工程学院提出以“能力模块对接岗位需求”修订人才培养方案。生态技术与工程学院立足“农、工、理”学科，统筹抓好学科专业课程思政建设，形成一份总结、一个标杆、一个案例、一批典型、一次整合的推进链条。绿色化工团队把课程思政教学与OBE工程教学理念结合，进一步优化教学设计。</w:t>
      </w:r>
    </w:p>
    <w:p>
      <w:pPr>
        <w:spacing w:line="360" w:lineRule="auto"/>
        <w:ind w:firstLine="709"/>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在具体行动上更加自觉。例如，材料科学与工程学院在新进教师培训活动中纳入课程思政内容。香料香精化妆品学部举行“课程思政”建设交流会，全面加强教师育人经验共享、共建、共赢。机械工程学院完善学院课程思政图书资源，一体化推进本科生与研究生课程思政。城市建设与安全工程学院将课程思政纳入教研室每学期活动计划，落实每一门课程在课程思政中的责任。理学院召开课程思政工作推进会，把课程思政建设要求全方位体现在数学类公共基础课程上，为专业课程育人提供支撑。</w:t>
      </w:r>
    </w:p>
    <w:p>
      <w:pPr>
        <w:spacing w:line="360" w:lineRule="auto"/>
        <w:ind w:firstLine="551" w:firstLineChars="196"/>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（三）课程大纲修订与专业课程指南研制取得进展</w:t>
      </w:r>
    </w:p>
    <w:p>
      <w:pPr>
        <w:spacing w:line="360" w:lineRule="auto"/>
        <w:ind w:firstLine="709"/>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所有课程对标学校的应用型人才思想政治核心素养和A</w:t>
      </w:r>
      <w:r>
        <w:rPr>
          <w:rFonts w:ascii="仿宋" w:hAnsi="仿宋" w:eastAsia="仿宋"/>
          <w:color w:val="000000" w:themeColor="text1"/>
          <w:sz w:val="28"/>
          <w:szCs w:val="28"/>
          <w14:textFill>
            <w14:solidFill>
              <w14:schemeClr w14:val="tx1"/>
            </w14:solidFill>
          </w14:textFill>
        </w:rPr>
        <w:t>Sci</w:t>
      </w:r>
      <w:r>
        <w:rPr>
          <w:rFonts w:hint="eastAsia" w:ascii="仿宋" w:hAnsi="仿宋" w:eastAsia="仿宋"/>
          <w:color w:val="000000" w:themeColor="text1"/>
          <w:sz w:val="28"/>
          <w:szCs w:val="28"/>
          <w14:textFill>
            <w14:solidFill>
              <w14:schemeClr w14:val="tx1"/>
            </w14:solidFill>
          </w14:textFill>
        </w:rPr>
        <w:t>T（爱科技）关键能力，将以“立德树人”为根本的多维度课程目标、以学生学习效果为统领的教学设计、过程性评价等关键因素引入到教学大纲中，并完成全校2000门课程的教学大纲修订工作。</w:t>
      </w:r>
    </w:p>
    <w:p>
      <w:pPr>
        <w:spacing w:line="360" w:lineRule="auto"/>
        <w:ind w:firstLine="709"/>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香料香精化妆品工艺学、化学与环境工程学院，基于</w:t>
      </w:r>
      <w:r>
        <w:rPr>
          <w:rFonts w:ascii="仿宋" w:hAnsi="仿宋" w:eastAsia="仿宋"/>
          <w:color w:val="000000" w:themeColor="text1"/>
          <w:sz w:val="28"/>
          <w:szCs w:val="28"/>
          <w14:textFill>
            <w14:solidFill>
              <w14:schemeClr w14:val="tx1"/>
            </w14:solidFill>
          </w14:textFill>
        </w:rPr>
        <w:t>将价值引领融入</w:t>
      </w:r>
      <w:r>
        <w:rPr>
          <w:rFonts w:hint="eastAsia" w:ascii="仿宋" w:hAnsi="仿宋" w:eastAsia="仿宋"/>
          <w:color w:val="000000" w:themeColor="text1"/>
          <w:sz w:val="28"/>
          <w:szCs w:val="28"/>
          <w14:textFill>
            <w14:solidFill>
              <w14:schemeClr w14:val="tx1"/>
            </w14:solidFill>
          </w14:textFill>
        </w:rPr>
        <w:t>专业</w:t>
      </w:r>
      <w:r>
        <w:rPr>
          <w:rFonts w:ascii="仿宋" w:hAnsi="仿宋" w:eastAsia="仿宋"/>
          <w:color w:val="000000" w:themeColor="text1"/>
          <w:sz w:val="28"/>
          <w:szCs w:val="28"/>
          <w14:textFill>
            <w14:solidFill>
              <w14:schemeClr w14:val="tx1"/>
            </w14:solidFill>
          </w14:textFill>
        </w:rPr>
        <w:t>人才培养全过程</w:t>
      </w:r>
      <w:r>
        <w:rPr>
          <w:rFonts w:hint="eastAsia" w:ascii="仿宋" w:hAnsi="仿宋" w:eastAsia="仿宋"/>
          <w:color w:val="000000" w:themeColor="text1"/>
          <w:sz w:val="28"/>
          <w:szCs w:val="28"/>
          <w14:textFill>
            <w14:solidFill>
              <w14:schemeClr w14:val="tx1"/>
            </w14:solidFill>
          </w14:textFill>
        </w:rPr>
        <w:t>实践探索，组织校内外专家共同研制学科专业</w:t>
      </w:r>
      <w:r>
        <w:rPr>
          <w:rFonts w:ascii="仿宋" w:hAnsi="仿宋" w:eastAsia="仿宋"/>
          <w:color w:val="000000" w:themeColor="text1"/>
          <w:sz w:val="28"/>
          <w:szCs w:val="28"/>
          <w14:textFill>
            <w14:solidFill>
              <w14:schemeClr w14:val="tx1"/>
            </w14:solidFill>
          </w14:textFill>
        </w:rPr>
        <w:t>教学指南</w:t>
      </w:r>
      <w:r>
        <w:rPr>
          <w:rFonts w:hint="eastAsia" w:ascii="仿宋" w:hAnsi="仿宋" w:eastAsia="仿宋"/>
          <w:color w:val="000000" w:themeColor="text1"/>
          <w:sz w:val="28"/>
          <w:szCs w:val="28"/>
          <w14:textFill>
            <w14:solidFill>
              <w14:schemeClr w14:val="tx1"/>
            </w14:solidFill>
          </w14:textFill>
        </w:rPr>
        <w:t>，初步完成市教委部署的制药类、食品科学与工程专业课程思政指南编制。相关学院及领航团队基于OBE理念全面梳理培养目标、毕业要求和课程体系，在材料类、机械类、化工类、土木类、生态类等5个特色专业同步开展指南编制或操作实务。</w:t>
      </w:r>
    </w:p>
    <w:p>
      <w:pPr>
        <w:spacing w:line="360" w:lineRule="auto"/>
        <w:ind w:firstLine="551" w:firstLineChars="196"/>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（四）“时代</w:t>
      </w:r>
      <w:r>
        <w:rPr>
          <w:rFonts w:hint="eastAsia" w:ascii="宋体" w:hAnsi="宋体" w:cs="宋体"/>
          <w:b/>
          <w:color w:val="000000" w:themeColor="text1"/>
          <w:sz w:val="28"/>
          <w:szCs w:val="28"/>
          <w14:textFill>
            <w14:solidFill>
              <w14:schemeClr w14:val="tx1"/>
            </w14:solidFill>
          </w14:textFill>
        </w:rPr>
        <w:t>•</w:t>
      </w:r>
      <w:r>
        <w:rPr>
          <w:rFonts w:hint="eastAsia" w:ascii="仿宋" w:hAnsi="仿宋" w:eastAsia="仿宋" w:cs="仿宋"/>
          <w:b/>
          <w:color w:val="000000" w:themeColor="text1"/>
          <w:sz w:val="28"/>
          <w:szCs w:val="28"/>
          <w14:textFill>
            <w14:solidFill>
              <w14:schemeClr w14:val="tx1"/>
            </w14:solidFill>
          </w14:textFill>
        </w:rPr>
        <w:t>应用”专业文化</w:t>
      </w:r>
      <w:r>
        <w:rPr>
          <w:rFonts w:hint="eastAsia" w:ascii="仿宋" w:hAnsi="仿宋" w:eastAsia="仿宋"/>
          <w:b/>
          <w:color w:val="000000" w:themeColor="text1"/>
          <w:sz w:val="28"/>
          <w:szCs w:val="28"/>
          <w14:textFill>
            <w14:solidFill>
              <w14:schemeClr w14:val="tx1"/>
            </w14:solidFill>
          </w14:textFill>
        </w:rPr>
        <w:t>建设进一步加强</w:t>
      </w:r>
    </w:p>
    <w:p>
      <w:pPr>
        <w:spacing w:line="360" w:lineRule="auto"/>
        <w:ind w:firstLine="709"/>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学校</w:t>
      </w:r>
      <w:r>
        <w:rPr>
          <w:rFonts w:ascii="仿宋" w:hAnsi="仿宋" w:eastAsia="仿宋"/>
          <w:color w:val="000000" w:themeColor="text1"/>
          <w:sz w:val="28"/>
          <w:szCs w:val="28"/>
          <w14:textFill>
            <w14:solidFill>
              <w14:schemeClr w14:val="tx1"/>
            </w14:solidFill>
          </w14:textFill>
        </w:rPr>
        <w:t>举行“文化厚德</w:t>
      </w:r>
      <w:r>
        <w:rPr>
          <w:rFonts w:hint="eastAsia" w:ascii="仿宋" w:hAnsi="仿宋" w:eastAsia="仿宋"/>
          <w:color w:val="000000" w:themeColor="text1"/>
          <w:sz w:val="28"/>
          <w:szCs w:val="28"/>
          <w14:textFill>
            <w14:solidFill>
              <w14:schemeClr w14:val="tx1"/>
            </w14:solidFill>
          </w14:textFill>
        </w:rPr>
        <w:t xml:space="preserve"> </w:t>
      </w:r>
      <w:r>
        <w:rPr>
          <w:rFonts w:ascii="仿宋" w:hAnsi="仿宋" w:eastAsia="仿宋"/>
          <w:color w:val="000000" w:themeColor="text1"/>
          <w:sz w:val="28"/>
          <w:szCs w:val="28"/>
          <w14:textFill>
            <w14:solidFill>
              <w14:schemeClr w14:val="tx1"/>
            </w14:solidFill>
          </w14:textFill>
        </w:rPr>
        <w:t>精技强国”第二届“时代·应用”专业文化主题宣讲会</w:t>
      </w:r>
      <w:r>
        <w:rPr>
          <w:rFonts w:hint="eastAsia" w:ascii="仿宋" w:hAnsi="仿宋" w:eastAsia="仿宋"/>
          <w:color w:val="000000" w:themeColor="text1"/>
          <w:sz w:val="28"/>
          <w:szCs w:val="28"/>
          <w14:textFill>
            <w14:solidFill>
              <w14:schemeClr w14:val="tx1"/>
            </w14:solidFill>
          </w14:textFill>
        </w:rPr>
        <w:t>。“时代</w:t>
      </w:r>
      <w:r>
        <w:rPr>
          <w:rFonts w:hint="eastAsia" w:ascii="宋体" w:hAnsi="宋体" w:cs="宋体"/>
          <w:color w:val="000000" w:themeColor="text1"/>
          <w:sz w:val="28"/>
          <w:szCs w:val="28"/>
          <w14:textFill>
            <w14:solidFill>
              <w14:schemeClr w14:val="tx1"/>
            </w14:solidFill>
          </w14:textFill>
        </w:rPr>
        <w:t>•</w:t>
      </w:r>
      <w:r>
        <w:rPr>
          <w:rFonts w:hint="eastAsia" w:ascii="仿宋" w:hAnsi="仿宋" w:eastAsia="仿宋" w:cs="仿宋"/>
          <w:color w:val="000000" w:themeColor="text1"/>
          <w:sz w:val="28"/>
          <w:szCs w:val="28"/>
          <w14:textFill>
            <w14:solidFill>
              <w14:schemeClr w14:val="tx1"/>
            </w14:solidFill>
          </w14:textFill>
        </w:rPr>
        <w:t>应用”主题宣讲要围绕专业文化展开，旨在将专业发展与时代进步和国家发展相结合，将小我融入大我，深入挖掘专业文化中蕴含的育人意义；将专业学习与专业精神相结合，讲述专业文化发展中具有里程碑意义事件、楷模人物故事；将专业前沿知</w:t>
      </w:r>
      <w:r>
        <w:rPr>
          <w:rFonts w:hint="eastAsia" w:ascii="仿宋" w:hAnsi="仿宋" w:eastAsia="仿宋"/>
          <w:color w:val="000000" w:themeColor="text1"/>
          <w:sz w:val="28"/>
          <w:szCs w:val="28"/>
          <w14:textFill>
            <w14:solidFill>
              <w14:schemeClr w14:val="tx1"/>
            </w14:solidFill>
          </w14:textFill>
        </w:rPr>
        <w:t>识与先进思想理论相结合，在实践中重构认知，不断提升创造能力。</w:t>
      </w:r>
    </w:p>
    <w:p>
      <w:pPr>
        <w:spacing w:line="360" w:lineRule="auto"/>
        <w:ind w:firstLine="709"/>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宣讲会上，15个学生专业文化宣讲团用大学生喜闻乐见的方式，从专业的历史脉络、时代命题、未来前景中，挖掘凝练专业中蕴含的核心价值和德育资源，讲述专业、解读专业，为“应用技术”发声，以实际行动讲述青年力量。</w:t>
      </w:r>
    </w:p>
    <w:p>
      <w:pPr>
        <w:spacing w:line="360" w:lineRule="auto"/>
        <w:ind w:firstLine="551" w:firstLineChars="196"/>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四</w:t>
      </w:r>
      <w:r>
        <w:rPr>
          <w:rFonts w:ascii="仿宋" w:hAnsi="仿宋" w:eastAsia="仿宋"/>
          <w:b/>
          <w:color w:val="000000" w:themeColor="text1"/>
          <w:sz w:val="28"/>
          <w:szCs w:val="28"/>
          <w14:textFill>
            <w14:solidFill>
              <w14:schemeClr w14:val="tx1"/>
            </w14:solidFill>
          </w14:textFill>
        </w:rPr>
        <w:t>、</w:t>
      </w:r>
      <w:r>
        <w:rPr>
          <w:rFonts w:hint="eastAsia" w:ascii="仿宋" w:hAnsi="仿宋" w:eastAsia="仿宋"/>
          <w:b/>
          <w:color w:val="000000" w:themeColor="text1"/>
          <w:sz w:val="28"/>
          <w:szCs w:val="28"/>
          <w14:textFill>
            <w14:solidFill>
              <w14:schemeClr w14:val="tx1"/>
            </w14:solidFill>
          </w14:textFill>
        </w:rPr>
        <w:t>存在不足</w:t>
      </w:r>
    </w:p>
    <w:p>
      <w:pPr>
        <w:spacing w:line="360" w:lineRule="auto"/>
        <w:ind w:firstLine="709"/>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1.在课程思政的顶层设计上还需强化系统集成，“三圈三全十育人”体系还没有形成全方位的上下贯通。</w:t>
      </w:r>
    </w:p>
    <w:p>
      <w:pPr>
        <w:spacing w:line="360" w:lineRule="auto"/>
        <w:ind w:firstLine="709"/>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2.推进课程思政的动力机制有待完善，课程思政的内动力和实施效果在学院-专业-课程3个层面存在逐层递减的现象。</w:t>
      </w:r>
    </w:p>
    <w:p>
      <w:pPr>
        <w:spacing w:line="360" w:lineRule="auto"/>
        <w:ind w:firstLine="709"/>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3.各学院对课程思政的重视程度和推进力度不同，发展水平不平衡。</w:t>
      </w:r>
    </w:p>
    <w:p>
      <w:pPr>
        <w:spacing w:line="360" w:lineRule="auto"/>
        <w:ind w:firstLine="709"/>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4.兄弟院校后发优势大，我校需要加快总结经验、凝练特色，形成新的工作增长点和突破方向。</w:t>
      </w:r>
    </w:p>
    <w:p>
      <w:pPr>
        <w:spacing w:line="360" w:lineRule="auto"/>
        <w:ind w:firstLine="709"/>
        <w:rPr>
          <w:sz w:val="28"/>
          <w:szCs w:val="28"/>
        </w:rPr>
      </w:pPr>
    </w:p>
    <w:p>
      <w:pPr>
        <w:spacing w:line="360" w:lineRule="auto"/>
        <w:rPr>
          <w:sz w:val="28"/>
          <w:szCs w:val="28"/>
        </w:rPr>
      </w:pPr>
    </w:p>
    <w:p>
      <w:pPr>
        <w:widowControl/>
        <w:spacing w:line="360" w:lineRule="auto"/>
        <w:jc w:val="left"/>
        <w:rPr>
          <w:rFonts w:ascii="仿宋" w:hAnsi="仿宋" w:eastAsia="仿宋"/>
          <w:sz w:val="28"/>
          <w:szCs w:val="28"/>
        </w:rPr>
      </w:pPr>
      <w:r>
        <w:rPr>
          <w:rFonts w:ascii="仿宋" w:hAnsi="仿宋" w:eastAsia="仿宋"/>
          <w:sz w:val="28"/>
          <w:szCs w:val="28"/>
        </w:rPr>
        <w:br w:type="page"/>
      </w:r>
    </w:p>
    <w:p>
      <w:pPr>
        <w:spacing w:line="360" w:lineRule="auto"/>
        <w:rPr>
          <w:rFonts w:ascii="仿宋" w:hAnsi="仿宋" w:eastAsia="仿宋"/>
          <w:sz w:val="28"/>
          <w:szCs w:val="28"/>
        </w:rPr>
      </w:pPr>
      <w:r>
        <w:rPr>
          <w:rFonts w:hint="eastAsia" w:ascii="仿宋" w:hAnsi="仿宋" w:eastAsia="仿宋"/>
          <w:sz w:val="28"/>
          <w:szCs w:val="28"/>
        </w:rPr>
        <w:t>附件3</w:t>
      </w:r>
    </w:p>
    <w:p>
      <w:pPr>
        <w:pStyle w:val="2"/>
        <w:spacing w:before="0" w:after="0" w:line="360" w:lineRule="auto"/>
        <w:ind w:firstLine="602" w:firstLineChars="200"/>
        <w:jc w:val="center"/>
        <w:rPr>
          <w:rFonts w:asciiTheme="minorEastAsia" w:hAnsiTheme="minorEastAsia"/>
          <w:sz w:val="30"/>
          <w:szCs w:val="30"/>
        </w:rPr>
      </w:pPr>
      <w:bookmarkStart w:id="32" w:name="_Toc131671195"/>
      <w:r>
        <w:rPr>
          <w:rFonts w:hint="eastAsia" w:asciiTheme="minorEastAsia" w:hAnsiTheme="minorEastAsia"/>
          <w:sz w:val="30"/>
          <w:szCs w:val="30"/>
        </w:rPr>
        <w:t>上海应用技术大学课程思政领航校2021年建设进展报告</w:t>
      </w:r>
      <w:bookmarkEnd w:id="32"/>
    </w:p>
    <w:p>
      <w:pPr>
        <w:snapToGrid w:val="0"/>
        <w:spacing w:line="360" w:lineRule="auto"/>
        <w:rPr>
          <w:rFonts w:ascii="方正小标宋简体" w:eastAsia="方正小标宋简体"/>
          <w:spacing w:val="-20"/>
          <w:sz w:val="28"/>
          <w:szCs w:val="28"/>
        </w:rPr>
      </w:pPr>
      <w:bookmarkStart w:id="33" w:name="_Hlk42518050"/>
    </w:p>
    <w:p>
      <w:pPr>
        <w:spacing w:line="360" w:lineRule="auto"/>
        <w:ind w:firstLine="709"/>
        <w:rPr>
          <w:rFonts w:ascii="仿宋" w:hAnsi="仿宋" w:eastAsia="仿宋"/>
          <w:sz w:val="28"/>
          <w:szCs w:val="28"/>
        </w:rPr>
      </w:pPr>
      <w:r>
        <w:rPr>
          <w:rFonts w:hint="eastAsia" w:ascii="仿宋" w:hAnsi="仿宋" w:eastAsia="仿宋"/>
          <w:sz w:val="28"/>
          <w:szCs w:val="28"/>
        </w:rPr>
        <w:t>学校坚持以习近平新时代中国特色社会主义思想为指导，围绕立德树人根本任务，进一步贯彻落实《关于加快构建高校思想政治工作体系的意见》（教思政〔2020〕1号）《高等学校课程思政建设指导纲要》（教高〔2020〕3号）《关于深入推进上海高校课程思政建设的实施意见》（沪教卫党〔2020〕186号）等文件精神，全面实施课程思政建设。</w:t>
      </w:r>
    </w:p>
    <w:p>
      <w:pPr>
        <w:spacing w:line="360" w:lineRule="auto"/>
        <w:ind w:firstLine="709"/>
        <w:rPr>
          <w:rFonts w:ascii="仿宋" w:hAnsi="仿宋" w:eastAsia="仿宋"/>
          <w:sz w:val="28"/>
          <w:szCs w:val="28"/>
        </w:rPr>
      </w:pPr>
      <w:r>
        <w:rPr>
          <w:rFonts w:hint="eastAsia" w:ascii="仿宋" w:hAnsi="仿宋" w:eastAsia="仿宋"/>
          <w:sz w:val="28"/>
          <w:szCs w:val="28"/>
        </w:rPr>
        <w:t>2021年是中国共产党建党100周年，是全国高校思想政治工作会议召开5周年，也是学校获批博士学位授予单位和入选地方高水平大学建设、具有里程碑意义的一年。站在新的发展起点上，依托更高的发展平台和更优的资源配置，学校课程思政工作也要同步再总结、再设计、再出发。</w:t>
      </w:r>
    </w:p>
    <w:p>
      <w:pPr>
        <w:spacing w:line="360" w:lineRule="auto"/>
        <w:ind w:firstLine="709"/>
        <w:rPr>
          <w:rFonts w:ascii="仿宋" w:hAnsi="仿宋" w:eastAsia="仿宋"/>
          <w:sz w:val="28"/>
          <w:szCs w:val="28"/>
        </w:rPr>
      </w:pPr>
      <w:r>
        <w:rPr>
          <w:rFonts w:hint="eastAsia" w:ascii="仿宋" w:hAnsi="仿宋" w:eastAsia="仿宋"/>
          <w:sz w:val="28"/>
          <w:szCs w:val="28"/>
        </w:rPr>
        <w:t>2021，学校紧紧抓住教师队伍“主力军”、课程建设“主战场”、课堂教学“主渠道”，紧扣“三位一体、三问致新、三维出彩”的要求，深入推进“上海高校课程思政整体改革领航高校”项目的建设任务。学校结合人才培养实际，发布《上海应用技术大学课程思政“十四五”发展规划》，以“五大工程”为牵引，有效落实立德树人根本任务，高质量建设具有高水平应用创新型大学特色的思想政治教育体系。</w:t>
      </w:r>
    </w:p>
    <w:p>
      <w:pPr>
        <w:spacing w:line="360" w:lineRule="auto"/>
        <w:ind w:firstLine="551" w:firstLineChars="196"/>
        <w:rPr>
          <w:rFonts w:ascii="仿宋" w:hAnsi="仿宋" w:eastAsia="仿宋"/>
          <w:b/>
          <w:sz w:val="28"/>
          <w:szCs w:val="28"/>
        </w:rPr>
      </w:pPr>
      <w:r>
        <w:rPr>
          <w:rFonts w:hint="eastAsia" w:ascii="仿宋" w:hAnsi="仿宋" w:eastAsia="仿宋"/>
          <w:b/>
          <w:sz w:val="28"/>
          <w:szCs w:val="28"/>
        </w:rPr>
        <w:t>一、继续实施课程思政“五大工程”</w:t>
      </w:r>
    </w:p>
    <w:p>
      <w:pPr>
        <w:spacing w:line="360" w:lineRule="auto"/>
        <w:ind w:firstLine="709"/>
        <w:rPr>
          <w:rFonts w:ascii="仿宋" w:hAnsi="仿宋" w:eastAsia="仿宋"/>
          <w:sz w:val="28"/>
          <w:szCs w:val="28"/>
        </w:rPr>
      </w:pPr>
      <w:r>
        <w:rPr>
          <w:rFonts w:hint="eastAsia" w:ascii="仿宋" w:hAnsi="仿宋" w:eastAsia="仿宋"/>
          <w:sz w:val="28"/>
          <w:szCs w:val="28"/>
        </w:rPr>
        <w:t>2021年,研制并实施年度课程思政建设计划，完善领导推进体制、理论研究机制等，总体构建应用型高校课程思政建设模式。对标课程思政整体改革领航校建设任务，狠抓6个领航学院、13个领航团队建设，有效发挥领航学院示范引领其他学院，实现课程思政建设的课程全覆盖。</w:t>
      </w:r>
    </w:p>
    <w:p>
      <w:pPr>
        <w:spacing w:line="360" w:lineRule="auto"/>
        <w:ind w:firstLine="551" w:firstLineChars="196"/>
        <w:rPr>
          <w:rFonts w:ascii="仿宋" w:hAnsi="仿宋" w:eastAsia="仿宋"/>
          <w:b/>
          <w:sz w:val="28"/>
          <w:szCs w:val="28"/>
        </w:rPr>
      </w:pPr>
      <w:r>
        <w:rPr>
          <w:rFonts w:hint="eastAsia" w:ascii="仿宋" w:hAnsi="仿宋" w:eastAsia="仿宋"/>
          <w:b/>
          <w:sz w:val="28"/>
          <w:szCs w:val="28"/>
        </w:rPr>
        <w:t>（一）金课建设工程</w:t>
      </w:r>
    </w:p>
    <w:p>
      <w:pPr>
        <w:spacing w:line="360" w:lineRule="auto"/>
        <w:ind w:firstLine="548" w:firstLineChars="196"/>
        <w:rPr>
          <w:rFonts w:ascii="仿宋" w:hAnsi="仿宋" w:eastAsia="仿宋"/>
          <w:sz w:val="28"/>
          <w:szCs w:val="28"/>
        </w:rPr>
      </w:pPr>
      <w:r>
        <w:rPr>
          <w:rFonts w:hint="eastAsia" w:ascii="仿宋" w:hAnsi="仿宋" w:eastAsia="仿宋"/>
          <w:sz w:val="28"/>
          <w:szCs w:val="28"/>
        </w:rPr>
        <w:t>结合建党一百周年，在所有课程中进一步加强习近平新时代中国特色社会主义思想和党史知识进课堂、进教材、进头脑。开展党史融入课程思政专项建设，立项专题理论研究4项、本科生课程7门、研究生课程2门。引导教师在授课中灵活引入生动案例，用党的丰功伟绩讴歌建党100周年。如《建设设计》课程团队，运用建筑学专业知识带领学生阅读一栋又一栋的红色建筑，引导学生将党史学习和专业知识学习相统一，感受波澜壮阔的百年历程；《材料学概论》课程团队，通过耳熟能详的共产党人英雄事迹，讲解材料学的专业知识及概念，并在潜移默化中塑造学生的正确价值观与人生观；《酶工程》课程团队，以筚路蓝缕的酶工程发展史为路径，展现中国共产党领导下的中国特色社会主义发展道路的正确性、优越性；《海报设计》课程团队，组织学生完成“初心之地，光荣之城”海报设计比赛，以党的不懈奋斗史、不怕牺牲史、理论探索史、为民造福史、自身建设史为题材，从党的奋斗历史中汲取前进力量。</w:t>
      </w:r>
    </w:p>
    <w:p>
      <w:pPr>
        <w:spacing w:line="360" w:lineRule="auto"/>
        <w:ind w:firstLine="548" w:firstLineChars="196"/>
        <w:rPr>
          <w:rFonts w:ascii="仿宋" w:hAnsi="仿宋" w:eastAsia="仿宋"/>
          <w:sz w:val="28"/>
          <w:szCs w:val="28"/>
        </w:rPr>
      </w:pPr>
      <w:r>
        <w:rPr>
          <w:rFonts w:hint="eastAsia" w:ascii="仿宋" w:hAnsi="仿宋" w:eastAsia="仿宋"/>
          <w:sz w:val="28"/>
          <w:szCs w:val="28"/>
        </w:rPr>
        <w:t>实施课程思政赋能一流专业、一流课程建设。推进现代信息技术在课程思政中的应用，建设课程思政线上资源库和交流、展示平台，组织课程思政领航课程积极申报市级及以上一流课程。如《微电子工艺学》《高等数学》《工程造价案例》《有机合成化学》《数字电子技术》《理论力学》《会展案例分析》《酶工程》《园林工程》等9门课程思政领航课程负责人分别从课程思政总体设计、教学实践、成果成效、特色创新等方面作了汇报交流，展示了学校“课程门门有思政，教师人人重育人”的生动局面和浓厚氛围。为进一步发挥示范效应，将领航课程示范展示做成线上展示课程，初步建成课程思政线上展示平台。</w:t>
      </w:r>
    </w:p>
    <w:p>
      <w:pPr>
        <w:spacing w:line="360" w:lineRule="auto"/>
        <w:ind w:firstLine="548" w:firstLineChars="196"/>
        <w:rPr>
          <w:rFonts w:ascii="仿宋" w:hAnsi="仿宋" w:eastAsia="仿宋"/>
          <w:sz w:val="28"/>
          <w:szCs w:val="28"/>
        </w:rPr>
      </w:pPr>
      <w:r>
        <w:rPr>
          <w:rFonts w:hint="eastAsia" w:ascii="仿宋" w:hAnsi="仿宋" w:eastAsia="仿宋"/>
          <w:sz w:val="28"/>
          <w:szCs w:val="28"/>
        </w:rPr>
        <w:t>构建“荣誉课程—示范课程—重点课程”三级领航课程体系。完成第一批131门领航课程的阶段性验收；新增建设69门课程思政领航课程，其中荣誉课程10门，示范课程30门、重点课程29门。</w:t>
      </w:r>
    </w:p>
    <w:p>
      <w:pPr>
        <w:spacing w:line="360" w:lineRule="auto"/>
        <w:ind w:firstLine="548" w:firstLineChars="196"/>
        <w:rPr>
          <w:rFonts w:ascii="仿宋" w:hAnsi="仿宋" w:eastAsia="仿宋"/>
          <w:sz w:val="28"/>
          <w:szCs w:val="28"/>
        </w:rPr>
      </w:pPr>
      <w:r>
        <w:rPr>
          <w:rFonts w:hint="eastAsia" w:ascii="仿宋" w:hAnsi="仿宋" w:eastAsia="仿宋"/>
          <w:sz w:val="28"/>
          <w:szCs w:val="28"/>
        </w:rPr>
        <w:t>引导各类课程结合自身特点深入挖掘育德元素，有机融入课程教学，提升“盐溶于汤”育人效果的有效性。</w:t>
      </w:r>
    </w:p>
    <w:p>
      <w:pPr>
        <w:spacing w:line="360" w:lineRule="auto"/>
        <w:ind w:firstLine="548" w:firstLineChars="196"/>
        <w:rPr>
          <w:rFonts w:ascii="仿宋" w:hAnsi="仿宋" w:eastAsia="仿宋"/>
          <w:sz w:val="28"/>
          <w:szCs w:val="28"/>
        </w:rPr>
      </w:pPr>
      <w:r>
        <w:rPr>
          <w:rFonts w:hint="eastAsia" w:ascii="仿宋" w:hAnsi="仿宋" w:eastAsia="仿宋"/>
          <w:sz w:val="28"/>
          <w:szCs w:val="28"/>
        </w:rPr>
        <w:t>——文学</w:t>
      </w:r>
      <w:r>
        <w:rPr>
          <w:rFonts w:ascii="仿宋" w:hAnsi="仿宋" w:eastAsia="仿宋"/>
          <w:sz w:val="28"/>
          <w:szCs w:val="28"/>
        </w:rPr>
        <w:t>专业课程。</w:t>
      </w:r>
      <w:r>
        <w:rPr>
          <w:rFonts w:hint="eastAsia" w:ascii="仿宋" w:hAnsi="仿宋" w:eastAsia="仿宋"/>
          <w:sz w:val="28"/>
          <w:szCs w:val="28"/>
        </w:rPr>
        <w:t>在课程教学中帮助学生掌握马克思主义世界观和方法论，从历史与现实、理论与实践等维度深刻理解习近平新时代中国特色社会主义思想的丰富内涵。</w:t>
      </w:r>
    </w:p>
    <w:p>
      <w:pPr>
        <w:spacing w:line="360" w:lineRule="auto"/>
        <w:ind w:firstLine="548" w:firstLineChars="196"/>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经济学、管理学</w:t>
      </w:r>
      <w:r>
        <w:rPr>
          <w:rFonts w:hint="eastAsia" w:ascii="仿宋" w:hAnsi="仿宋" w:eastAsia="仿宋"/>
          <w:sz w:val="28"/>
          <w:szCs w:val="28"/>
        </w:rPr>
        <w:t>类、法学类</w:t>
      </w:r>
      <w:r>
        <w:rPr>
          <w:rFonts w:ascii="仿宋" w:hAnsi="仿宋" w:eastAsia="仿宋"/>
          <w:sz w:val="28"/>
          <w:szCs w:val="28"/>
        </w:rPr>
        <w:t>专业课程。在课程教学中坚持以马克思主义为指导，帮助学生了解相关专业和行业领域的国家战略、法律法规和相关政策，引导学生深入社会实践、关注现实问题。</w:t>
      </w:r>
    </w:p>
    <w:p>
      <w:pPr>
        <w:spacing w:line="360" w:lineRule="auto"/>
        <w:ind w:firstLine="548" w:firstLineChars="196"/>
        <w:rPr>
          <w:rFonts w:ascii="仿宋" w:hAnsi="仿宋" w:eastAsia="仿宋"/>
          <w:sz w:val="28"/>
          <w:szCs w:val="28"/>
        </w:rPr>
      </w:pPr>
      <w:r>
        <w:rPr>
          <w:rFonts w:hint="eastAsia" w:ascii="仿宋" w:hAnsi="仿宋" w:eastAsia="仿宋"/>
          <w:sz w:val="28"/>
          <w:szCs w:val="28"/>
        </w:rPr>
        <w:t>——理学、工学类专业课程。在课程教学中把马克思主义立场观点方法的教育与科学精神、工匠精神的培养结合起来，提高学生正确认识问题、分析问题和解决问题的能力，凸显应用型育人特色。</w:t>
      </w:r>
    </w:p>
    <w:p>
      <w:pPr>
        <w:spacing w:line="360" w:lineRule="auto"/>
        <w:ind w:firstLine="548" w:firstLineChars="196"/>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农学类专业课程。在课程教学中加强生态文明教育，引导学生树立和践行绿水青山就是金山银山的理念。增强学生服务农业农村现代化、服务乡村全面振兴的使命感和责任感，培养知农爱农创新人才。</w:t>
      </w:r>
    </w:p>
    <w:p>
      <w:pPr>
        <w:spacing w:line="360" w:lineRule="auto"/>
        <w:ind w:firstLine="548" w:firstLineChars="196"/>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艺术学类专业课程。在课程教学中教育引导学生立足时代、扎根人民、深入生活，树立正确的艺术观和创作观。引导学生自觉传承和弘扬中华优秀传统文化，全面提高学生的审美和人文素养，增强文化自信。</w:t>
      </w:r>
    </w:p>
    <w:p>
      <w:pPr>
        <w:spacing w:line="360" w:lineRule="auto"/>
        <w:ind w:firstLine="551" w:firstLineChars="196"/>
        <w:rPr>
          <w:rFonts w:ascii="仿宋" w:hAnsi="仿宋" w:eastAsia="仿宋"/>
          <w:b/>
          <w:sz w:val="28"/>
          <w:szCs w:val="28"/>
        </w:rPr>
      </w:pPr>
      <w:r>
        <w:rPr>
          <w:rFonts w:hint="eastAsia" w:ascii="仿宋" w:hAnsi="仿宋" w:eastAsia="仿宋"/>
          <w:b/>
          <w:sz w:val="28"/>
          <w:szCs w:val="28"/>
        </w:rPr>
        <w:t>（二）质量保障工程</w:t>
      </w:r>
    </w:p>
    <w:p>
      <w:pPr>
        <w:spacing w:line="360" w:lineRule="auto"/>
        <w:ind w:firstLine="548" w:firstLineChars="196"/>
        <w:rPr>
          <w:rFonts w:ascii="仿宋" w:hAnsi="仿宋" w:eastAsia="仿宋"/>
          <w:sz w:val="28"/>
          <w:szCs w:val="28"/>
        </w:rPr>
      </w:pPr>
      <w:r>
        <w:rPr>
          <w:rFonts w:hint="eastAsia" w:ascii="仿宋" w:hAnsi="仿宋" w:eastAsia="仿宋"/>
          <w:sz w:val="28"/>
          <w:szCs w:val="28"/>
        </w:rPr>
        <w:t>发挥校院两级教学指导委员会、督导组和校外行业企业专家的作用，结合学校新版本科教学质量标准修订各项教学评价指标体系，完善课程思政各主要环节的评价机制。全面修订《本科教学质量标准体系》（2021年版），成功制定《二级学院教学质量保障体系建设指导意见》，把课程思政建设作为课程质量的重要考核指标。全校所有课程依据课程思政建设要求，完成课程大纲修订，在所有课程中将课程思政育德元素植入课堂教学。</w:t>
      </w:r>
    </w:p>
    <w:p>
      <w:pPr>
        <w:spacing w:line="360" w:lineRule="auto"/>
        <w:ind w:firstLine="548" w:firstLineChars="196"/>
        <w:rPr>
          <w:rFonts w:ascii="仿宋" w:hAnsi="仿宋" w:eastAsia="仿宋"/>
          <w:sz w:val="28"/>
          <w:szCs w:val="28"/>
        </w:rPr>
      </w:pPr>
      <w:r>
        <w:rPr>
          <w:rFonts w:hint="eastAsia" w:ascii="仿宋" w:hAnsi="仿宋" w:eastAsia="仿宋"/>
          <w:sz w:val="28"/>
          <w:szCs w:val="28"/>
        </w:rPr>
        <w:t>研制《课程思政二级学院考核指标体系》，有效发挥二级学院主体作用，推进课程思政建设进教材内容、进教案课件、进课程考核，鼓励专业课程结合课程思政的要求创新出版高水平教材。</w:t>
      </w:r>
    </w:p>
    <w:p>
      <w:pPr>
        <w:spacing w:line="360" w:lineRule="auto"/>
        <w:ind w:firstLine="548" w:firstLineChars="196"/>
        <w:rPr>
          <w:rFonts w:ascii="仿宋" w:hAnsi="仿宋" w:eastAsia="仿宋"/>
          <w:sz w:val="28"/>
          <w:szCs w:val="28"/>
        </w:rPr>
      </w:pPr>
      <w:r>
        <w:rPr>
          <w:rFonts w:hint="eastAsia" w:ascii="仿宋" w:hAnsi="仿宋" w:eastAsia="仿宋"/>
          <w:sz w:val="28"/>
          <w:szCs w:val="28"/>
        </w:rPr>
        <w:t>加强基层教学组织建设。依托课程思政领航团队、教研室等组织，开展集体教研，共同挖掘专业课程中的思政元素与优化专业课程育人方法。充分发挥优秀骨干教师的示范带动作用，学科带头人、专业责任教授、高水平教学团队负责人等要带头开展课程思政建设。将课程思政列为教研室活动的必备专题，邀请学校各级领导深入各类教学基层组织指导、观摩工作，并积极开展总结经验与宣传推广。</w:t>
      </w:r>
    </w:p>
    <w:p>
      <w:pPr>
        <w:spacing w:line="360" w:lineRule="auto"/>
        <w:ind w:firstLine="548" w:firstLineChars="196"/>
        <w:rPr>
          <w:rFonts w:ascii="仿宋" w:hAnsi="仿宋" w:eastAsia="仿宋"/>
          <w:sz w:val="28"/>
          <w:szCs w:val="28"/>
        </w:rPr>
      </w:pPr>
      <w:r>
        <w:rPr>
          <w:rFonts w:hint="eastAsia" w:ascii="仿宋" w:hAnsi="仿宋" w:eastAsia="仿宋"/>
          <w:sz w:val="28"/>
          <w:szCs w:val="28"/>
        </w:rPr>
        <w:t>认真研究落实《习近平新时代中国特色社会主义思想进课程教材指南》，将课程思政建设落实落细到培养方案、教学大纲和课堂教学中，构建更加符合高素质应用创新型人才培养要求的课程思政建设体系。</w:t>
      </w:r>
    </w:p>
    <w:p>
      <w:pPr>
        <w:spacing w:line="360" w:lineRule="auto"/>
        <w:ind w:firstLine="551" w:firstLineChars="196"/>
        <w:rPr>
          <w:rFonts w:ascii="仿宋" w:hAnsi="仿宋" w:eastAsia="仿宋"/>
          <w:b/>
          <w:sz w:val="28"/>
          <w:szCs w:val="28"/>
        </w:rPr>
      </w:pPr>
      <w:r>
        <w:rPr>
          <w:rFonts w:hint="eastAsia" w:ascii="仿宋" w:hAnsi="仿宋" w:eastAsia="仿宋"/>
          <w:b/>
          <w:sz w:val="28"/>
          <w:szCs w:val="28"/>
        </w:rPr>
        <w:t>（三）考核激励工程</w:t>
      </w:r>
    </w:p>
    <w:p>
      <w:pPr>
        <w:spacing w:line="360" w:lineRule="auto"/>
        <w:ind w:firstLine="548" w:firstLineChars="196"/>
        <w:rPr>
          <w:rFonts w:ascii="仿宋" w:hAnsi="仿宋" w:eastAsia="仿宋"/>
          <w:sz w:val="28"/>
          <w:szCs w:val="28"/>
        </w:rPr>
      </w:pPr>
      <w:r>
        <w:rPr>
          <w:rFonts w:hint="eastAsia" w:ascii="仿宋" w:hAnsi="仿宋" w:eastAsia="仿宋"/>
          <w:sz w:val="28"/>
          <w:szCs w:val="28"/>
        </w:rPr>
        <w:t>全面加强上海高校课程思政整体改革领航高校”项目的建设任务考核，采用以领航学院、领航团队、领航课程为经，以科学研究、专业建设、实践基地、师资队伍为纬，以课程思政专业教学指南、教学案例为重，推进领航学院、领航团队、领航课程建设与考核。</w:t>
      </w:r>
    </w:p>
    <w:p>
      <w:pPr>
        <w:spacing w:line="360" w:lineRule="auto"/>
        <w:ind w:firstLine="548" w:firstLineChars="196"/>
        <w:rPr>
          <w:rFonts w:ascii="仿宋" w:hAnsi="仿宋" w:eastAsia="仿宋"/>
          <w:sz w:val="28"/>
          <w:szCs w:val="28"/>
        </w:rPr>
      </w:pPr>
      <w:r>
        <w:rPr>
          <w:rFonts w:hint="eastAsia" w:ascii="仿宋" w:hAnsi="仿宋" w:eastAsia="仿宋"/>
          <w:sz w:val="28"/>
          <w:szCs w:val="28"/>
        </w:rPr>
        <w:t>召开2021年秋季学期课程思政教学指导委员会会议，发挥学院党政领班班子在课程思政建设的关键作用。各学院在课程思政建设中应切实做到党政协同，推动各项任务落地生根。基层党组织要注重发挥广大教师的关键作用，特别是强化党员教师的带头引领，以课程思政为抓手加强师德师风建设，为推进课程思政的高质量创新发展营造良好的氛围，真正构建起全员、全过程、全方位育人工作体系。</w:t>
      </w:r>
    </w:p>
    <w:p>
      <w:pPr>
        <w:spacing w:line="360" w:lineRule="auto"/>
        <w:ind w:firstLine="548" w:firstLineChars="196"/>
        <w:rPr>
          <w:rFonts w:ascii="仿宋" w:hAnsi="仿宋" w:eastAsia="仿宋"/>
          <w:sz w:val="28"/>
          <w:szCs w:val="28"/>
        </w:rPr>
      </w:pPr>
      <w:r>
        <w:rPr>
          <w:rFonts w:hint="eastAsia" w:ascii="仿宋" w:hAnsi="仿宋" w:eastAsia="仿宋"/>
          <w:sz w:val="28"/>
          <w:szCs w:val="28"/>
        </w:rPr>
        <w:t>顺利完成2021年学院课程思政年度考核工作。一方面，全面加强对二级学院课程思政建设的过程管理，通过考核激励引导各学院完善体制机制建设，将课程思政建设落实到人才培养的各个方面、各个环节；另一方面，强化分类指导、特色发展，明确各学院的课程思政建设目标和重点任务，实现院院有特色，院院有亮点。</w:t>
      </w:r>
    </w:p>
    <w:p>
      <w:pPr>
        <w:spacing w:line="360" w:lineRule="auto"/>
        <w:ind w:firstLine="551" w:firstLineChars="196"/>
        <w:rPr>
          <w:rFonts w:ascii="仿宋" w:hAnsi="仿宋" w:eastAsia="仿宋"/>
          <w:b/>
          <w:sz w:val="28"/>
          <w:szCs w:val="28"/>
        </w:rPr>
      </w:pPr>
      <w:r>
        <w:rPr>
          <w:rFonts w:hint="eastAsia" w:ascii="仿宋" w:hAnsi="仿宋" w:eastAsia="仿宋"/>
          <w:b/>
          <w:sz w:val="28"/>
          <w:szCs w:val="28"/>
        </w:rPr>
        <w:t>（四）名师培育工程</w:t>
      </w:r>
    </w:p>
    <w:p>
      <w:pPr>
        <w:spacing w:line="360" w:lineRule="auto"/>
        <w:ind w:firstLine="548" w:firstLineChars="196"/>
        <w:rPr>
          <w:rFonts w:ascii="仿宋" w:hAnsi="仿宋" w:eastAsia="仿宋"/>
          <w:sz w:val="28"/>
          <w:szCs w:val="28"/>
        </w:rPr>
      </w:pPr>
      <w:r>
        <w:rPr>
          <w:rFonts w:hint="eastAsia" w:ascii="仿宋" w:hAnsi="仿宋" w:eastAsia="仿宋"/>
          <w:sz w:val="28"/>
          <w:szCs w:val="28"/>
        </w:rPr>
        <w:t>采用线上与线下相结合的方式，持续扩大学校课程思政骨干教师影响力。利用学校微信平台，推广课程思政建设成果、推出课程思政建设名师。</w:t>
      </w:r>
    </w:p>
    <w:p>
      <w:pPr>
        <w:spacing w:line="360" w:lineRule="auto"/>
        <w:ind w:firstLine="548" w:firstLineChars="196"/>
        <w:rPr>
          <w:rFonts w:ascii="仿宋" w:hAnsi="仿宋" w:eastAsia="仿宋"/>
          <w:sz w:val="28"/>
          <w:szCs w:val="28"/>
        </w:rPr>
      </w:pPr>
      <w:r>
        <w:rPr>
          <w:rFonts w:hint="eastAsia" w:ascii="仿宋" w:hAnsi="仿宋" w:eastAsia="仿宋"/>
          <w:sz w:val="28"/>
          <w:szCs w:val="28"/>
        </w:rPr>
        <w:t>按学校、学院两级滚动实施课程思政培训，做到教师课程思政培训全覆盖。2020-2021年，学校以“课程思政”为主题开展了10场明德讲坛和15期教师沙龙，累计有2400余人次参加。在2021年校青教赛中设课程思政专项奖。2021年11月，教务处组织200余名教师参加教育部高等教育司指导的“高校教师课程思政教学能力培训”。</w:t>
      </w:r>
    </w:p>
    <w:p>
      <w:pPr>
        <w:spacing w:line="360" w:lineRule="auto"/>
        <w:ind w:firstLine="551" w:firstLineChars="196"/>
        <w:rPr>
          <w:rFonts w:ascii="仿宋" w:hAnsi="仿宋" w:eastAsia="仿宋"/>
          <w:b/>
          <w:sz w:val="28"/>
          <w:szCs w:val="28"/>
        </w:rPr>
      </w:pPr>
      <w:r>
        <w:rPr>
          <w:rFonts w:hint="eastAsia" w:ascii="仿宋" w:hAnsi="仿宋" w:eastAsia="仿宋"/>
          <w:b/>
          <w:sz w:val="28"/>
          <w:szCs w:val="28"/>
        </w:rPr>
        <w:t>（五）理论研究工程</w:t>
      </w:r>
    </w:p>
    <w:p>
      <w:pPr>
        <w:spacing w:line="360" w:lineRule="auto"/>
        <w:ind w:firstLine="548" w:firstLineChars="196"/>
        <w:rPr>
          <w:rFonts w:ascii="仿宋" w:hAnsi="仿宋" w:eastAsia="仿宋"/>
          <w:sz w:val="28"/>
          <w:szCs w:val="28"/>
        </w:rPr>
      </w:pPr>
      <w:r>
        <w:rPr>
          <w:rFonts w:hint="eastAsia" w:ascii="仿宋" w:hAnsi="仿宋" w:eastAsia="仿宋"/>
          <w:sz w:val="28"/>
          <w:szCs w:val="28"/>
        </w:rPr>
        <w:t>依托课程思政研究中心，协同学校各类智库加强课程思政建设重点、难点、前瞻性问题的研究。2020年启动第一批次课程思政专项研究课题建设工作，经校内、外专家对申报的73项课题进行评审，33项课题获批立项，其中重点课题8项，委托课题5项，一般课题20项，公开发表论文15篇。2021年立项重点课题6项，一般课题13项，鼓励教师积极凝练成果，发表高水平论文。</w:t>
      </w:r>
    </w:p>
    <w:p>
      <w:pPr>
        <w:spacing w:line="360" w:lineRule="auto"/>
        <w:ind w:firstLine="551" w:firstLineChars="196"/>
        <w:rPr>
          <w:rFonts w:ascii="仿宋" w:hAnsi="仿宋" w:eastAsia="仿宋"/>
          <w:b/>
          <w:sz w:val="28"/>
          <w:szCs w:val="28"/>
        </w:rPr>
      </w:pPr>
      <w:r>
        <w:rPr>
          <w:rFonts w:hint="eastAsia" w:ascii="仿宋" w:hAnsi="仿宋" w:eastAsia="仿宋"/>
          <w:b/>
          <w:sz w:val="28"/>
          <w:szCs w:val="28"/>
        </w:rPr>
        <w:t>二、重点建设</w:t>
      </w:r>
    </w:p>
    <w:p>
      <w:pPr>
        <w:spacing w:line="360" w:lineRule="auto"/>
        <w:ind w:firstLine="551" w:firstLineChars="196"/>
        <w:rPr>
          <w:rFonts w:ascii="仿宋" w:hAnsi="仿宋" w:eastAsia="仿宋"/>
          <w:b/>
          <w:sz w:val="28"/>
          <w:szCs w:val="28"/>
        </w:rPr>
      </w:pPr>
      <w:r>
        <w:rPr>
          <w:rFonts w:hint="eastAsia" w:ascii="仿宋" w:hAnsi="仿宋" w:eastAsia="仿宋"/>
          <w:b/>
          <w:sz w:val="28"/>
          <w:szCs w:val="28"/>
        </w:rPr>
        <w:t>（一）完成课程思政专业教学指南和操作实务的编制</w:t>
      </w:r>
    </w:p>
    <w:p>
      <w:pPr>
        <w:spacing w:line="360" w:lineRule="auto"/>
        <w:ind w:firstLine="548" w:firstLineChars="196"/>
        <w:rPr>
          <w:rFonts w:ascii="仿宋" w:hAnsi="仿宋" w:eastAsia="仿宋"/>
          <w:sz w:val="28"/>
          <w:szCs w:val="28"/>
        </w:rPr>
      </w:pPr>
      <w:r>
        <w:rPr>
          <w:rFonts w:hint="eastAsia" w:ascii="仿宋" w:hAnsi="仿宋" w:eastAsia="仿宋"/>
          <w:sz w:val="28"/>
          <w:szCs w:val="28"/>
        </w:rPr>
        <w:t>完成市教委部署的制药类、食品科学与工程专业课程思政指南编制。在总结前期课程思政建设成果的基础上，融入国家战略、科技热点、学科前沿、产业发展等相关课程思政教学案例，出版《厚德·精技——应用型高校课程思政教学设计50例》，增强学校在领航应用型本科高校课程思政中的影响力。完成材料类、土木类、化工类、机械类和生态专业实践类课程思政专业教学实务的撰写。以“指南”和“实务”的编写为契机，引导各专业结合自身特点有效推进，建设课程思政育人链，加快实现具有自身特色的课程思政、专业思政。</w:t>
      </w:r>
    </w:p>
    <w:p>
      <w:pPr>
        <w:spacing w:line="360" w:lineRule="auto"/>
        <w:ind w:firstLine="551" w:firstLineChars="196"/>
        <w:rPr>
          <w:rFonts w:ascii="仿宋" w:hAnsi="仿宋" w:eastAsia="仿宋"/>
          <w:b/>
          <w:sz w:val="28"/>
          <w:szCs w:val="28"/>
        </w:rPr>
      </w:pPr>
      <w:r>
        <w:rPr>
          <w:rFonts w:hint="eastAsia" w:ascii="仿宋" w:hAnsi="仿宋" w:eastAsia="仿宋"/>
          <w:b/>
          <w:sz w:val="28"/>
          <w:szCs w:val="28"/>
        </w:rPr>
        <w:t>（二）发挥马克思主义学科在课程思政建设的引领作用</w:t>
      </w:r>
    </w:p>
    <w:p>
      <w:pPr>
        <w:spacing w:line="360" w:lineRule="auto"/>
        <w:ind w:firstLine="548" w:firstLineChars="196"/>
        <w:rPr>
          <w:rFonts w:ascii="仿宋" w:hAnsi="仿宋" w:eastAsia="仿宋"/>
          <w:sz w:val="28"/>
          <w:szCs w:val="28"/>
        </w:rPr>
      </w:pPr>
      <w:r>
        <w:rPr>
          <w:rFonts w:hint="eastAsia" w:ascii="仿宋" w:hAnsi="仿宋" w:eastAsia="仿宋"/>
          <w:sz w:val="28"/>
          <w:szCs w:val="28"/>
        </w:rPr>
        <w:t>持续推进思政课教师和专业学院“一对一”对接工作，定期组织思政课教师围绕课程思政建设开展专题研讨，思政课教师进入各学院参与荣誉课程等指导和验收，发挥马克思主义学科的引领作用。</w:t>
      </w:r>
    </w:p>
    <w:p>
      <w:pPr>
        <w:spacing w:line="360" w:lineRule="auto"/>
        <w:ind w:firstLine="548" w:firstLineChars="196"/>
        <w:rPr>
          <w:rFonts w:ascii="仿宋" w:hAnsi="仿宋" w:eastAsia="仿宋"/>
          <w:sz w:val="28"/>
          <w:szCs w:val="28"/>
        </w:rPr>
      </w:pPr>
      <w:r>
        <w:rPr>
          <w:rFonts w:hint="eastAsia" w:ascii="仿宋" w:hAnsi="仿宋" w:eastAsia="仿宋"/>
          <w:sz w:val="28"/>
          <w:szCs w:val="28"/>
        </w:rPr>
        <w:t>各学院以学科为单位，围绕国家战略、科技热点、学科前沿、产业发展等及时收集育人素材，并由马克思主义学院及时梳理升华，将马克思主义的立场、观点和方法贯穿到各学科中，形成了多个课程育人案例。</w:t>
      </w:r>
    </w:p>
    <w:p>
      <w:pPr>
        <w:spacing w:line="360" w:lineRule="auto"/>
        <w:ind w:firstLine="551" w:firstLineChars="196"/>
        <w:rPr>
          <w:rFonts w:ascii="仿宋" w:hAnsi="仿宋" w:eastAsia="仿宋"/>
          <w:b/>
          <w:sz w:val="28"/>
          <w:szCs w:val="28"/>
        </w:rPr>
      </w:pPr>
      <w:r>
        <w:rPr>
          <w:rFonts w:hint="eastAsia" w:ascii="仿宋" w:hAnsi="仿宋" w:eastAsia="仿宋"/>
          <w:b/>
          <w:sz w:val="28"/>
          <w:szCs w:val="28"/>
        </w:rPr>
        <w:t>（三）健全第一课堂和第二课堂的课程思政协同联动机制</w:t>
      </w:r>
    </w:p>
    <w:p>
      <w:pPr>
        <w:spacing w:line="360" w:lineRule="auto"/>
        <w:ind w:firstLine="548" w:firstLineChars="196"/>
        <w:rPr>
          <w:rFonts w:ascii="仿宋" w:hAnsi="仿宋" w:eastAsia="仿宋"/>
          <w:sz w:val="28"/>
          <w:szCs w:val="28"/>
        </w:rPr>
      </w:pPr>
      <w:r>
        <w:rPr>
          <w:rFonts w:hint="eastAsia" w:ascii="仿宋" w:hAnsi="仿宋" w:eastAsia="仿宋"/>
          <w:sz w:val="28"/>
          <w:szCs w:val="28"/>
        </w:rPr>
        <w:t>多措并举加强第二课堂、社团活动中的课程思政建设。开展第三届“时代•应用”专业文化育人活动。全校14个学生专业文化宣讲团依次登场，立足青年视角，阐发“文化厚德”内涵，表达“精技强国”之志，以实际行动讲述青年力量。总结凝练“时代•应用”专业文化育人成果，并筹划出版书籍。</w:t>
      </w:r>
    </w:p>
    <w:p>
      <w:pPr>
        <w:spacing w:line="360" w:lineRule="auto"/>
        <w:ind w:firstLine="551" w:firstLineChars="196"/>
        <w:rPr>
          <w:rFonts w:ascii="仿宋" w:hAnsi="仿宋" w:eastAsia="仿宋"/>
          <w:b/>
          <w:sz w:val="28"/>
          <w:szCs w:val="28"/>
        </w:rPr>
      </w:pPr>
      <w:r>
        <w:rPr>
          <w:rFonts w:hint="eastAsia" w:ascii="仿宋" w:hAnsi="仿宋" w:eastAsia="仿宋"/>
          <w:b/>
          <w:sz w:val="28"/>
          <w:szCs w:val="28"/>
        </w:rPr>
        <w:t>（四）全面加强研究生课程思政建设</w:t>
      </w:r>
    </w:p>
    <w:p>
      <w:pPr>
        <w:spacing w:line="360" w:lineRule="auto"/>
        <w:ind w:firstLine="548" w:firstLineChars="196"/>
        <w:rPr>
          <w:rFonts w:ascii="仿宋" w:hAnsi="仿宋" w:eastAsia="仿宋"/>
          <w:sz w:val="28"/>
          <w:szCs w:val="28"/>
        </w:rPr>
      </w:pPr>
      <w:r>
        <w:rPr>
          <w:rFonts w:hint="eastAsia" w:ascii="仿宋" w:hAnsi="仿宋" w:eastAsia="仿宋"/>
          <w:sz w:val="28"/>
          <w:szCs w:val="28"/>
        </w:rPr>
        <w:t>以研究生应用创新能力和综合素养培育为导向，将创新的基因植入到研究生的培养全过程，统筹推进研究生课程思政建设，实现研究生课程思政全覆盖。强调把研究生课程思政贯穿于研究生整个培养周期，包括培养计划制定和课程教学（教学计划、课程标准、课程内容、教学评价等主要教学环节），学位论文的开题、中期检查、实验、写作、答辩等主要环节。明确导师作为研究生培养第一责任人的以身示范、情境暗示和价值引导职责，推动导师与学生的学术共同体构建，进一步将课程思政建设作为研究生导师聘任和评价的重要指标。</w:t>
      </w:r>
    </w:p>
    <w:p>
      <w:pPr>
        <w:spacing w:line="360" w:lineRule="auto"/>
        <w:ind w:firstLine="551" w:firstLineChars="196"/>
        <w:rPr>
          <w:rFonts w:ascii="仿宋" w:hAnsi="仿宋" w:eastAsia="仿宋"/>
          <w:b/>
          <w:color w:val="000000"/>
          <w:sz w:val="28"/>
          <w:szCs w:val="28"/>
        </w:rPr>
      </w:pPr>
      <w:r>
        <w:rPr>
          <w:rFonts w:hint="eastAsia" w:ascii="仿宋" w:hAnsi="仿宋" w:eastAsia="仿宋"/>
          <w:b/>
          <w:color w:val="000000"/>
          <w:sz w:val="28"/>
          <w:szCs w:val="28"/>
        </w:rPr>
        <w:t>三、成果的总结推广</w:t>
      </w:r>
    </w:p>
    <w:p>
      <w:pPr>
        <w:spacing w:line="360" w:lineRule="auto"/>
        <w:ind w:firstLine="551" w:firstLineChars="196"/>
        <w:rPr>
          <w:rFonts w:ascii="仿宋" w:hAnsi="仿宋" w:eastAsia="仿宋"/>
          <w:b/>
          <w:sz w:val="28"/>
          <w:szCs w:val="28"/>
        </w:rPr>
      </w:pPr>
      <w:r>
        <w:rPr>
          <w:rFonts w:hint="eastAsia" w:ascii="仿宋" w:hAnsi="仿宋" w:eastAsia="仿宋"/>
          <w:b/>
          <w:sz w:val="28"/>
          <w:szCs w:val="28"/>
        </w:rPr>
        <w:t>（一）市级层面</w:t>
      </w:r>
    </w:p>
    <w:p>
      <w:pPr>
        <w:spacing w:line="360" w:lineRule="auto"/>
        <w:ind w:firstLine="548" w:firstLineChars="196"/>
        <w:rPr>
          <w:rFonts w:ascii="仿宋" w:hAnsi="仿宋" w:eastAsia="仿宋"/>
          <w:sz w:val="28"/>
          <w:szCs w:val="28"/>
        </w:rPr>
      </w:pPr>
      <w:r>
        <w:rPr>
          <w:rFonts w:hint="eastAsia" w:ascii="仿宋" w:hAnsi="仿宋" w:eastAsia="仿宋"/>
          <w:sz w:val="28"/>
          <w:szCs w:val="28"/>
        </w:rPr>
        <w:t>组织召开应用型高校课程思政建设研讨会和相关学科专业课程思政论坛。2021年上海高校课程思政建设论坛在我校举行。中共上海市教卫工作党委副书记、上海市教委副主任闵辉出席，上海市人大外事委员会主任委员高德毅、上海中医药大学教授张黎声应邀做专题报告。我校校长柯勤飞、校党委副书记陈海瑾、副校长张锁怀出席论坛。陈海瑾主持论坛。上海市教委德育处副处长杨长亮和来自上海市各高校的教育部课程思政示范项目负责人、课程思政领航高校具体负责同志，以及我校课程思政建设办公室全体成员参加论坛。论坛内容丰富、干货满满，对进一步完善课程思政整体设计，选好建优课程思政示范项目，提升我校高素质应用创新型人才培养质量具有重要的推动作用。</w:t>
      </w:r>
    </w:p>
    <w:p>
      <w:pPr>
        <w:spacing w:line="360" w:lineRule="auto"/>
        <w:ind w:firstLine="551" w:firstLineChars="196"/>
        <w:rPr>
          <w:rFonts w:ascii="仿宋" w:hAnsi="仿宋" w:eastAsia="仿宋"/>
          <w:b/>
          <w:sz w:val="28"/>
          <w:szCs w:val="28"/>
        </w:rPr>
      </w:pPr>
      <w:r>
        <w:rPr>
          <w:rFonts w:hint="eastAsia" w:ascii="仿宋" w:hAnsi="仿宋" w:eastAsia="仿宋"/>
          <w:b/>
          <w:sz w:val="28"/>
          <w:szCs w:val="28"/>
        </w:rPr>
        <w:t>（二）校级层面</w:t>
      </w:r>
    </w:p>
    <w:p>
      <w:pPr>
        <w:spacing w:line="360" w:lineRule="auto"/>
        <w:ind w:firstLine="548" w:firstLineChars="196"/>
        <w:rPr>
          <w:rFonts w:ascii="仿宋" w:hAnsi="仿宋" w:eastAsia="仿宋"/>
          <w:sz w:val="28"/>
          <w:szCs w:val="28"/>
        </w:rPr>
      </w:pPr>
      <w:r>
        <w:rPr>
          <w:rFonts w:hint="eastAsia" w:ascii="仿宋" w:hAnsi="仿宋" w:eastAsia="仿宋"/>
          <w:sz w:val="28"/>
          <w:szCs w:val="28"/>
        </w:rPr>
        <w:t>1.举行课程思政重点改革领航学院汇报交流会。柯勤飞用“高站位、全覆盖、深融合、强特色”12个字概括和肯定了各学院课程思政建设。</w:t>
      </w:r>
    </w:p>
    <w:p>
      <w:pPr>
        <w:spacing w:line="360" w:lineRule="auto"/>
        <w:ind w:firstLine="548" w:firstLineChars="196"/>
        <w:rPr>
          <w:rFonts w:ascii="仿宋" w:hAnsi="仿宋" w:eastAsia="仿宋"/>
          <w:sz w:val="28"/>
          <w:szCs w:val="28"/>
        </w:rPr>
      </w:pPr>
      <w:r>
        <w:rPr>
          <w:rFonts w:hint="eastAsia" w:ascii="仿宋" w:hAnsi="仿宋" w:eastAsia="仿宋"/>
          <w:sz w:val="28"/>
          <w:szCs w:val="28"/>
        </w:rPr>
        <w:t>材料学院将课程思政建设与新工科、一流专业、一流课程建设相结合，开设企业家讲坛、实施引企入教，打造课程思政核心课程群。化工学院强化高水平学科专业一体化建设，明确团队建设目标任务，打造“2+2+N”课程思政工作格局。香化学部强化制度保障，以承担上海市课程思政教学指南研制任务为抓手，提高教师课程思政建设的积极性和主动性。经管学院发挥两个国家级一流专业和3个课程思政教学团队的示范引领作用，建设专业课程思政教学案例库，构建专业的实践育人体系。城建学院实行“党支部+教研室+学生工作办公室”一体化协同的组织模式，党政齐抓共管，打造红色建筑品牌特色。生态学院结合学科特色与育人目标，绘制了“一体、两观、三元、四个面向、五育并举”课程思政图谱。机械学院打造智能制造课程思政领航团队育人共同体，为提升应用创新型研究生培养质量提供了切实的路径。</w:t>
      </w:r>
    </w:p>
    <w:p>
      <w:pPr>
        <w:spacing w:line="360" w:lineRule="auto"/>
        <w:ind w:firstLine="548" w:firstLineChars="196"/>
        <w:rPr>
          <w:rFonts w:ascii="仿宋" w:hAnsi="仿宋" w:eastAsia="仿宋"/>
          <w:sz w:val="28"/>
          <w:szCs w:val="28"/>
        </w:rPr>
      </w:pPr>
      <w:r>
        <w:rPr>
          <w:rFonts w:hint="eastAsia" w:ascii="仿宋" w:hAnsi="仿宋" w:eastAsia="仿宋"/>
          <w:sz w:val="28"/>
          <w:szCs w:val="28"/>
        </w:rPr>
        <w:t>2.《园林工程》、《微电子工艺学》和《酶工程》3门课程入选“上海高校党史学习教育与课程相融合示范课程”。</w:t>
      </w:r>
    </w:p>
    <w:p>
      <w:pPr>
        <w:spacing w:line="360" w:lineRule="auto"/>
        <w:ind w:firstLine="548" w:firstLineChars="196"/>
        <w:rPr>
          <w:rFonts w:ascii="仿宋" w:hAnsi="仿宋" w:eastAsia="仿宋"/>
          <w:sz w:val="28"/>
          <w:szCs w:val="28"/>
        </w:rPr>
      </w:pPr>
      <w:r>
        <w:rPr>
          <w:rFonts w:hint="eastAsia" w:ascii="仿宋" w:hAnsi="仿宋" w:eastAsia="仿宋"/>
          <w:sz w:val="28"/>
          <w:szCs w:val="28"/>
        </w:rPr>
        <w:t>《园林工程》课程负责人为生态学院教师吴威，课程教学团队系统挖掘党史学习教育育人案例，突出工程实践训练、产教研融合，将党史有机融入园林工程课堂教学。该课程对接“乡村振兴”等国家战略，倡导绿色生态文明，强化“五育并举”理念，突出“劳育”和“美育”，实现以劳增智，以劳育美，将园林工程理论与实践创新相结合，让学生掌握相关知识和工程实践能力的同时心怀“国之大者”，服务生态文明，增强建设“美丽中国”的时代担当。</w:t>
      </w:r>
    </w:p>
    <w:p>
      <w:pPr>
        <w:spacing w:line="360" w:lineRule="auto"/>
        <w:ind w:firstLine="548" w:firstLineChars="196"/>
        <w:rPr>
          <w:rFonts w:ascii="仿宋" w:hAnsi="仿宋" w:eastAsia="仿宋"/>
          <w:sz w:val="28"/>
          <w:szCs w:val="28"/>
        </w:rPr>
      </w:pPr>
      <w:r>
        <w:rPr>
          <w:rFonts w:hint="eastAsia" w:ascii="仿宋" w:hAnsi="仿宋" w:eastAsia="仿宋"/>
          <w:sz w:val="28"/>
          <w:szCs w:val="28"/>
        </w:rPr>
        <w:t>《微电子工艺学》课程负责人为材料学院教师田甜，课程教学团队深入挖掘党史案例，将其融入到课堂教学环节中，实现党史学习教育、思想政治教育与知识体系教育的有机结合。该课程介绍“中国集成电路的发展史”，讲解我国开发出第一块大规模集成电路的艰难历程，弘扬老一辈共产党人艰苦奋斗传统美德，在介绍掺杂工艺制备pn结及其原理时，介绍党员先驱科学家抱着振兴中华，报效祖国的光辉奋斗历程，让更多学生“知材懂材”，增强科技报国的意识和情怀。</w:t>
      </w:r>
    </w:p>
    <w:p>
      <w:pPr>
        <w:spacing w:line="360" w:lineRule="auto"/>
        <w:ind w:firstLine="548" w:firstLineChars="196"/>
        <w:rPr>
          <w:rFonts w:ascii="仿宋" w:hAnsi="仿宋" w:eastAsia="仿宋"/>
          <w:sz w:val="28"/>
          <w:szCs w:val="28"/>
        </w:rPr>
      </w:pPr>
      <w:r>
        <w:rPr>
          <w:rFonts w:hint="eastAsia" w:ascii="仿宋" w:hAnsi="仿宋" w:eastAsia="仿宋"/>
          <w:sz w:val="28"/>
          <w:szCs w:val="28"/>
        </w:rPr>
        <w:t>《酶工程》课程负责人为香化学部教师李茜茜，课程教学团队以应用创新型人才思想政治核心素养32个要点和未来工程师“爱科技”（ASciT）九大关键能力为重点，将党史学习教育融入“酶工程”课程育人实践。该课程讲述酶工程在中国共产党的领导下取得显著成效的发展史、老一辈酶工程领域的专家奋斗史，让学生从专业课的角度了解酶工程在中国的蓬勃发展，真切感受到中国共产党带领中国人民站起来、富起来、强起来的伟大历程，激发同学们的爱党爱国情怀。</w:t>
      </w:r>
    </w:p>
    <w:p>
      <w:pPr>
        <w:spacing w:line="360" w:lineRule="auto"/>
        <w:ind w:firstLine="551" w:firstLineChars="196"/>
        <w:rPr>
          <w:rFonts w:ascii="仿宋" w:hAnsi="仿宋" w:eastAsia="仿宋"/>
          <w:b/>
          <w:sz w:val="28"/>
          <w:szCs w:val="28"/>
        </w:rPr>
      </w:pPr>
      <w:r>
        <w:rPr>
          <w:rFonts w:hint="eastAsia" w:ascii="仿宋" w:hAnsi="仿宋" w:eastAsia="仿宋"/>
          <w:b/>
          <w:sz w:val="28"/>
          <w:szCs w:val="28"/>
        </w:rPr>
        <w:t>（三）学院层面</w:t>
      </w:r>
    </w:p>
    <w:p>
      <w:pPr>
        <w:spacing w:line="360" w:lineRule="auto"/>
        <w:ind w:firstLine="548" w:firstLineChars="196"/>
        <w:rPr>
          <w:rFonts w:ascii="仿宋" w:hAnsi="仿宋" w:eastAsia="仿宋"/>
          <w:sz w:val="28"/>
          <w:szCs w:val="28"/>
        </w:rPr>
      </w:pPr>
      <w:r>
        <w:rPr>
          <w:rFonts w:hint="eastAsia" w:ascii="仿宋" w:hAnsi="仿宋" w:eastAsia="仿宋"/>
          <w:sz w:val="28"/>
          <w:szCs w:val="28"/>
        </w:rPr>
        <w:t>2021年，各学院深入推进课程思政建设，成效显著。</w:t>
      </w:r>
    </w:p>
    <w:p>
      <w:pPr>
        <w:spacing w:line="360" w:lineRule="auto"/>
        <w:ind w:firstLine="548" w:firstLineChars="196"/>
        <w:rPr>
          <w:rFonts w:ascii="仿宋" w:hAnsi="仿宋" w:eastAsia="仿宋"/>
          <w:sz w:val="28"/>
          <w:szCs w:val="28"/>
        </w:rPr>
      </w:pPr>
      <w:r>
        <w:rPr>
          <w:rFonts w:hint="eastAsia" w:ascii="仿宋" w:hAnsi="仿宋" w:eastAsia="仿宋"/>
          <w:sz w:val="28"/>
          <w:szCs w:val="28"/>
        </w:rPr>
        <w:t>1.材料学院始终坚定中国特色社会主义道理自信、理论自信、制度自信、文化自信，潜心开展课程思政教学改革，形成了以国家千人赵喆教授、上海市优秀学科带头人徐家跃教授领衔的领航团队“双轮驱动火车头”，牵引青年骨干教师融入课程思政2.0的建设，青年骨干教师参与到新进教师从课程思政1.0到2.0的过度中去。</w:t>
      </w:r>
    </w:p>
    <w:p>
      <w:pPr>
        <w:spacing w:line="360" w:lineRule="auto"/>
        <w:ind w:firstLine="548" w:firstLineChars="196"/>
        <w:rPr>
          <w:rFonts w:ascii="仿宋" w:hAnsi="仿宋" w:eastAsia="仿宋"/>
          <w:sz w:val="28"/>
          <w:szCs w:val="28"/>
        </w:rPr>
      </w:pPr>
      <w:r>
        <w:rPr>
          <w:rFonts w:hint="eastAsia" w:ascii="仿宋" w:hAnsi="仿宋" w:eastAsia="仿宋"/>
          <w:sz w:val="28"/>
          <w:szCs w:val="28"/>
        </w:rPr>
        <w:t>2.机械工程学院积极对接国家研究生教育的思政要求，主动对标国家战略需求导向，借力学校课程思政领航高校优势，加强学院智能制造课程思政领航团队建设，完成“三全育人”体系设计，以研究生解决复杂问题能力为核心，实现课程思政赋能“机械工程”学科人才培养。</w:t>
      </w:r>
    </w:p>
    <w:p>
      <w:pPr>
        <w:spacing w:line="360" w:lineRule="auto"/>
        <w:ind w:firstLine="548" w:firstLineChars="196"/>
        <w:rPr>
          <w:rFonts w:ascii="仿宋" w:hAnsi="仿宋" w:eastAsia="仿宋"/>
          <w:sz w:val="28"/>
          <w:szCs w:val="28"/>
        </w:rPr>
      </w:pPr>
      <w:r>
        <w:rPr>
          <w:rFonts w:hint="eastAsia" w:ascii="仿宋" w:hAnsi="仿宋" w:eastAsia="仿宋"/>
          <w:sz w:val="28"/>
          <w:szCs w:val="28"/>
        </w:rPr>
        <w:t>3.电气学院认真落实学校课程思政建设工作要求，积极推进将课程思政与专业教学体系有机融合，在课程思政教学方法力求突破创新，以深入推进“三全育人”综合改革为抓手，推进深化“课程思政”教育教学改革。</w:t>
      </w:r>
    </w:p>
    <w:p>
      <w:pPr>
        <w:spacing w:line="360" w:lineRule="auto"/>
        <w:ind w:firstLine="548" w:firstLineChars="196"/>
        <w:rPr>
          <w:rFonts w:ascii="仿宋" w:hAnsi="仿宋" w:eastAsia="仿宋"/>
          <w:sz w:val="28"/>
          <w:szCs w:val="28"/>
        </w:rPr>
      </w:pPr>
      <w:r>
        <w:rPr>
          <w:rFonts w:hint="eastAsia" w:ascii="仿宋" w:hAnsi="仿宋" w:eastAsia="仿宋"/>
          <w:sz w:val="28"/>
          <w:szCs w:val="28"/>
        </w:rPr>
        <w:t>4.计算机学院党委自2020年开始开展课程思政教学案例竞赛活动，以期通过比赛促进学院教师在比赛中学习，在学习中思考、在思考中实践、在实践中总结、在总结中积淀。学院已收集整理十余篇各专业课程的课程思政案例，接下来学院准备通过竞赛案例的征集、修改、完善，总结形成《计算机专业课程思政案例集》，希望能为本学院及兄弟院校相关学院提供借鉴与参考。</w:t>
      </w:r>
    </w:p>
    <w:p>
      <w:pPr>
        <w:spacing w:line="360" w:lineRule="auto"/>
        <w:ind w:firstLine="548" w:firstLineChars="196"/>
        <w:rPr>
          <w:rFonts w:ascii="仿宋" w:hAnsi="仿宋" w:eastAsia="仿宋"/>
          <w:sz w:val="28"/>
          <w:szCs w:val="28"/>
        </w:rPr>
      </w:pPr>
      <w:r>
        <w:rPr>
          <w:rFonts w:hint="eastAsia" w:ascii="仿宋" w:hAnsi="仿宋" w:eastAsia="仿宋"/>
          <w:sz w:val="28"/>
          <w:szCs w:val="28"/>
        </w:rPr>
        <w:t>5.城市建设与安全工程学院立足专业背景，将传统课堂概念进行合理延伸，通过现场模拟、竞赛活动、作品展览等实践活动，打造第一课堂，第二课堂和第三课堂的有机融合，以“润物细无声”的教育方式有机地融入政治意识、职业情怀，实现对学院全体学生的价值引领和知识传授、能力培养的有机统一。</w:t>
      </w:r>
    </w:p>
    <w:p>
      <w:pPr>
        <w:spacing w:line="360" w:lineRule="auto"/>
        <w:ind w:firstLine="548" w:firstLineChars="196"/>
        <w:rPr>
          <w:rFonts w:ascii="仿宋" w:hAnsi="仿宋" w:eastAsia="仿宋"/>
          <w:sz w:val="28"/>
          <w:szCs w:val="28"/>
        </w:rPr>
      </w:pPr>
      <w:r>
        <w:rPr>
          <w:rFonts w:hint="eastAsia" w:ascii="仿宋" w:hAnsi="仿宋" w:eastAsia="仿宋"/>
          <w:sz w:val="28"/>
          <w:szCs w:val="28"/>
        </w:rPr>
        <w:t>6.化工学院课程思政领航学院建设已建立了“2+2+N”（两个试点专业+两个领航团队+若干门专业核心课程）的专业思政工作格局。以制药工程和化学工程与工艺两个专业为抓手，建设有“绿色化工”、“生态环境”两个课程思政教学团队，涵盖相关专业所有课程,其中入选校级课程思政改革课程23门。以立德树人为根本，培养具有家国情怀、国际视野、科学思维、工匠精神、社会责任的一线卓越工程师。</w:t>
      </w:r>
    </w:p>
    <w:p>
      <w:pPr>
        <w:spacing w:line="360" w:lineRule="auto"/>
        <w:ind w:firstLine="548" w:firstLineChars="196"/>
        <w:rPr>
          <w:rFonts w:ascii="仿宋" w:hAnsi="仿宋" w:eastAsia="仿宋"/>
          <w:sz w:val="28"/>
          <w:szCs w:val="28"/>
        </w:rPr>
      </w:pPr>
      <w:r>
        <w:rPr>
          <w:rFonts w:hint="eastAsia" w:ascii="仿宋" w:hAnsi="仿宋" w:eastAsia="仿宋"/>
          <w:sz w:val="28"/>
          <w:szCs w:val="28"/>
        </w:rPr>
        <w:t>7.香料香精化妆品学部积极推进课程思政领航学院建设，学部党政班子带头进行学部班子课程思政领航学院和团队建设工作，并将课程思政建设写入聘期考核文件。学部召开专题会议研究课程思政领航学院建设和《食品科学类课程思政教学指南》编写工作。</w:t>
      </w:r>
    </w:p>
    <w:p>
      <w:pPr>
        <w:spacing w:line="360" w:lineRule="auto"/>
        <w:ind w:firstLine="548" w:firstLineChars="196"/>
        <w:rPr>
          <w:rFonts w:ascii="仿宋" w:hAnsi="仿宋" w:eastAsia="仿宋"/>
          <w:sz w:val="28"/>
          <w:szCs w:val="28"/>
        </w:rPr>
      </w:pPr>
      <w:r>
        <w:rPr>
          <w:rFonts w:hint="eastAsia" w:ascii="仿宋" w:hAnsi="仿宋" w:eastAsia="仿宋"/>
          <w:sz w:val="28"/>
          <w:szCs w:val="28"/>
        </w:rPr>
        <w:t>8.艺术学院党总支重视用好课堂教学主渠道，深入挖掘艺术设计类课程的思想政治理论教育资源，突出综合素养课程和专业课程教学的育人导向，促使知识传授与价值观教育同频共振。学院以课程思政为导向，开展了主题鲜明，特色突出的实践活动，得到了“光明日报”“上海教育电视台”“上海基层党建网”、学习强国等媒体相继报道。取得良好成效。</w:t>
      </w:r>
    </w:p>
    <w:p>
      <w:pPr>
        <w:spacing w:line="360" w:lineRule="auto"/>
        <w:ind w:firstLine="548" w:firstLineChars="196"/>
        <w:rPr>
          <w:rFonts w:ascii="仿宋" w:hAnsi="仿宋" w:eastAsia="仿宋"/>
          <w:sz w:val="28"/>
          <w:szCs w:val="28"/>
        </w:rPr>
      </w:pPr>
      <w:r>
        <w:rPr>
          <w:rFonts w:hint="eastAsia" w:ascii="仿宋" w:hAnsi="仿宋" w:eastAsia="仿宋"/>
          <w:sz w:val="28"/>
          <w:szCs w:val="28"/>
        </w:rPr>
        <w:t>9.经管与管理学院注重一流专业建设与课程思政课程建设相结合，注重专业课教师的课程思政能力建设，加强顶层设计，全面规划，循序渐进，以点带面，选树三支课程思政教学团队（熊焰、曹杨和张金福教授分别牵头），推出一批课程思政示范课程、设立若干课程思政建设研究项目，全面加强专业相关课程思政建设，不断提高教学效果。</w:t>
      </w:r>
    </w:p>
    <w:p>
      <w:pPr>
        <w:spacing w:line="360" w:lineRule="auto"/>
        <w:ind w:firstLine="548" w:firstLineChars="196"/>
        <w:rPr>
          <w:rFonts w:ascii="仿宋" w:hAnsi="仿宋" w:eastAsia="仿宋"/>
          <w:sz w:val="28"/>
          <w:szCs w:val="28"/>
        </w:rPr>
      </w:pPr>
      <w:r>
        <w:rPr>
          <w:rFonts w:hint="eastAsia" w:ascii="仿宋" w:hAnsi="仿宋" w:eastAsia="仿宋"/>
          <w:sz w:val="28"/>
          <w:szCs w:val="28"/>
        </w:rPr>
        <w:t>10.外国语学院以信息技术融入大学英语教学为抓手，加强课程内涵建设，强化课程思政教育教学改革，使大学英语教学应主动融入学校课程思政教学体系，使之在学校落实立德树人根本任务中发挥重要作用。</w:t>
      </w:r>
    </w:p>
    <w:p>
      <w:pPr>
        <w:spacing w:line="360" w:lineRule="auto"/>
        <w:ind w:firstLine="548" w:firstLineChars="196"/>
        <w:rPr>
          <w:rFonts w:ascii="仿宋" w:hAnsi="仿宋" w:eastAsia="仿宋"/>
          <w:sz w:val="28"/>
          <w:szCs w:val="28"/>
        </w:rPr>
      </w:pPr>
      <w:r>
        <w:rPr>
          <w:rFonts w:hint="eastAsia" w:ascii="仿宋" w:hAnsi="仿宋" w:eastAsia="仿宋"/>
          <w:sz w:val="28"/>
          <w:szCs w:val="28"/>
        </w:rPr>
        <w:t>11.生态技术与工程学院按照学校课程思政领航学院要求，在做好基础工作的同时，结合教师高水平科研项目，紧抓“劳育+课程思政”这一特色工作，将发展型红色劳动教育融入基层实践，把劳动教育纳入学院人才培养全过程，引导生态学生关注乡村振兴，胸怀家国天下。</w:t>
      </w:r>
    </w:p>
    <w:p>
      <w:pPr>
        <w:spacing w:line="360" w:lineRule="auto"/>
        <w:ind w:firstLine="548" w:firstLineChars="196"/>
        <w:rPr>
          <w:rFonts w:ascii="仿宋" w:hAnsi="仿宋" w:eastAsia="仿宋"/>
          <w:sz w:val="28"/>
          <w:szCs w:val="28"/>
        </w:rPr>
      </w:pPr>
      <w:r>
        <w:rPr>
          <w:rFonts w:hint="eastAsia" w:ascii="仿宋" w:hAnsi="仿宋" w:eastAsia="仿宋"/>
          <w:sz w:val="28"/>
          <w:szCs w:val="28"/>
        </w:rPr>
        <w:t>12.人文学院围绕立德树人的根本任务，对接国家和区域经济社会发展需求，以新文科卓越人才培养为中心，以高素质双师型队伍建设为抓手，以文化传承创新为导向，发扬人文思政融合优势，为党为国培养合格人才。</w:t>
      </w:r>
    </w:p>
    <w:p>
      <w:pPr>
        <w:spacing w:line="360" w:lineRule="auto"/>
        <w:ind w:firstLine="548" w:firstLineChars="196"/>
        <w:rPr>
          <w:rFonts w:ascii="仿宋" w:hAnsi="仿宋" w:eastAsia="仿宋"/>
          <w:sz w:val="28"/>
          <w:szCs w:val="28"/>
        </w:rPr>
      </w:pPr>
      <w:r>
        <w:rPr>
          <w:rFonts w:hint="eastAsia" w:ascii="仿宋" w:hAnsi="仿宋" w:eastAsia="仿宋"/>
          <w:sz w:val="28"/>
          <w:szCs w:val="28"/>
        </w:rPr>
        <w:t>13.理学院充分发挥学院党委的政治引领、组织保障和工作统筹作用，通过发挥教工党支部的战斗堡垒作用，促进党建工作与“三全育人”同频共振、深度融合，为学校党建和思想政治工作注入了“源头活水”，构建起“大党建大思政”工作新格局。</w:t>
      </w:r>
    </w:p>
    <w:p>
      <w:pPr>
        <w:spacing w:line="360" w:lineRule="auto"/>
        <w:ind w:firstLine="548" w:firstLineChars="196"/>
        <w:rPr>
          <w:rFonts w:ascii="仿宋" w:hAnsi="仿宋" w:eastAsia="仿宋"/>
          <w:sz w:val="28"/>
          <w:szCs w:val="28"/>
        </w:rPr>
      </w:pPr>
      <w:r>
        <w:rPr>
          <w:rFonts w:hint="eastAsia" w:ascii="仿宋" w:hAnsi="仿宋" w:eastAsia="仿宋"/>
          <w:sz w:val="28"/>
          <w:szCs w:val="28"/>
        </w:rPr>
        <w:t>14.轨道交通学院通过开设《一带一路 车文同轨》、《大道之行 筑梦铁路》等课程，带领留学生参观上海铁路博物馆、上海地铁博物馆，参加“一带一路”澜湄铁路互联互通中心揭牌暨“云游中老铁路”活动启动仪式、“学习习近平总书记关于“一带一路”工作重要指示暨在中老铁路通车仪式上重要讲话精神座谈会”等活动，讲好“一带一路”中老铁路故事，深入挖掘课程内生德育元素，开展留学生思政教育，使老挝留学生了解中国文化、认同“一带一路”倡议和人类命运共同体理念，培养了知华友华爱华的中老友谊的民间使者。</w:t>
      </w:r>
    </w:p>
    <w:p>
      <w:pPr>
        <w:spacing w:line="360" w:lineRule="auto"/>
        <w:ind w:firstLine="548" w:firstLineChars="196"/>
        <w:rPr>
          <w:rFonts w:ascii="仿宋" w:hAnsi="仿宋" w:eastAsia="仿宋"/>
          <w:sz w:val="28"/>
          <w:szCs w:val="28"/>
        </w:rPr>
      </w:pPr>
      <w:r>
        <w:rPr>
          <w:rFonts w:hint="eastAsia" w:ascii="仿宋" w:hAnsi="仿宋" w:eastAsia="仿宋"/>
          <w:sz w:val="28"/>
          <w:szCs w:val="28"/>
        </w:rPr>
        <w:t>15.体育部根据整体教学安排，实行体育课内外“一体化”——体育课、课外锻炼、运动队训练的新模式，把体育教学、课外活动和竞赛有机地结合在一起，集教、学、练、赛为一体，不受时间限制，使运动技术的课堂学习与课外活动的自我练习联系在一起，使体育课外活动的成效也纳入到总体的评估标准中来。</w:t>
      </w:r>
    </w:p>
    <w:p>
      <w:pPr>
        <w:spacing w:line="360" w:lineRule="auto"/>
        <w:ind w:firstLine="548" w:firstLineChars="196"/>
        <w:rPr>
          <w:rFonts w:ascii="仿宋" w:hAnsi="仿宋" w:eastAsia="仿宋"/>
          <w:sz w:val="28"/>
          <w:szCs w:val="28"/>
        </w:rPr>
      </w:pPr>
      <w:r>
        <w:rPr>
          <w:rFonts w:hint="eastAsia" w:ascii="仿宋" w:hAnsi="仿宋" w:eastAsia="仿宋"/>
          <w:sz w:val="28"/>
          <w:szCs w:val="28"/>
        </w:rPr>
        <w:t>16.马克思主义学院进一步探究课程思政和思政课程同向同行、协同育人的工作机制，形成一批特色经验做法和具有参考价值的研究成果。《习近平新时代中国特色社会主义思想概论》获批上海市一流课程及上海市高校思政金课；推进大中小学思政课一体化建设；发挥马克思主义学科引领作用。</w:t>
      </w:r>
    </w:p>
    <w:bookmarkEnd w:id="33"/>
    <w:p>
      <w:pPr>
        <w:widowControl/>
        <w:spacing w:line="360" w:lineRule="auto"/>
        <w:jc w:val="left"/>
        <w:rPr>
          <w:rFonts w:ascii="仿宋" w:hAnsi="仿宋" w:eastAsia="仿宋"/>
          <w:sz w:val="28"/>
          <w:szCs w:val="28"/>
        </w:rPr>
      </w:pPr>
      <w:r>
        <w:rPr>
          <w:rFonts w:ascii="仿宋" w:hAnsi="仿宋" w:eastAsia="仿宋"/>
          <w:sz w:val="28"/>
          <w:szCs w:val="28"/>
        </w:rPr>
        <w:br w:type="page"/>
      </w:r>
    </w:p>
    <w:p>
      <w:pPr>
        <w:spacing w:line="360" w:lineRule="auto"/>
        <w:rPr>
          <w:rFonts w:ascii="仿宋" w:hAnsi="仿宋" w:eastAsia="仿宋"/>
          <w:sz w:val="28"/>
          <w:szCs w:val="28"/>
        </w:rPr>
      </w:pPr>
      <w:r>
        <w:rPr>
          <w:rFonts w:hint="eastAsia" w:ascii="仿宋" w:hAnsi="仿宋" w:eastAsia="仿宋"/>
          <w:sz w:val="28"/>
          <w:szCs w:val="28"/>
        </w:rPr>
        <w:t>附件4</w:t>
      </w:r>
    </w:p>
    <w:p>
      <w:pPr>
        <w:pStyle w:val="2"/>
        <w:spacing w:before="0" w:after="0" w:line="360" w:lineRule="auto"/>
        <w:ind w:firstLine="602" w:firstLineChars="200"/>
        <w:jc w:val="center"/>
        <w:rPr>
          <w:rFonts w:asciiTheme="minorEastAsia" w:hAnsiTheme="minorEastAsia"/>
          <w:sz w:val="30"/>
          <w:szCs w:val="30"/>
        </w:rPr>
      </w:pPr>
      <w:bookmarkStart w:id="34" w:name="_Toc131671196"/>
      <w:r>
        <w:rPr>
          <w:rFonts w:hint="eastAsia" w:asciiTheme="minorEastAsia" w:hAnsiTheme="minorEastAsia"/>
          <w:sz w:val="30"/>
          <w:szCs w:val="30"/>
        </w:rPr>
        <w:t>上海应用技术大学课程思政领航校2022年建设进展报告</w:t>
      </w:r>
      <w:bookmarkEnd w:id="34"/>
    </w:p>
    <w:p>
      <w:pPr>
        <w:spacing w:line="360" w:lineRule="auto"/>
        <w:rPr>
          <w:sz w:val="28"/>
          <w:szCs w:val="28"/>
        </w:rPr>
      </w:pPr>
    </w:p>
    <w:p>
      <w:pPr>
        <w:spacing w:line="360" w:lineRule="auto"/>
        <w:ind w:firstLine="709"/>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上海应用技术大学认真落实《关于加快构建高校思想政治工作体系的意见》（教思政〔2020〕1号）和《高等学校课程思政建设指导纲要》（教高〔2020〕3号），围绕落实立德树人根本任务，以建设课程思政领航高校为契机，制定《上海应用技术大学2022年课程思政建设工作要点》，落实课程思政“十四五”专项规划，扎实推进课程思政建设高质量发展。</w:t>
      </w:r>
    </w:p>
    <w:p>
      <w:pPr>
        <w:spacing w:line="360" w:lineRule="auto"/>
        <w:ind w:firstLine="551" w:firstLineChars="196"/>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一</w:t>
      </w:r>
      <w:r>
        <w:rPr>
          <w:rFonts w:ascii="仿宋" w:hAnsi="仿宋" w:eastAsia="仿宋"/>
          <w:b/>
          <w:color w:val="000000" w:themeColor="text1"/>
          <w:sz w:val="28"/>
          <w:szCs w:val="28"/>
          <w14:textFill>
            <w14:solidFill>
              <w14:schemeClr w14:val="tx1"/>
            </w14:solidFill>
          </w14:textFill>
        </w:rPr>
        <w:t>、</w:t>
      </w:r>
      <w:r>
        <w:rPr>
          <w:rFonts w:hint="eastAsia" w:ascii="仿宋" w:hAnsi="仿宋" w:eastAsia="仿宋"/>
          <w:b/>
          <w:color w:val="000000" w:themeColor="text1"/>
          <w:sz w:val="28"/>
          <w:szCs w:val="28"/>
          <w14:textFill>
            <w14:solidFill>
              <w14:schemeClr w14:val="tx1"/>
            </w14:solidFill>
          </w14:textFill>
        </w:rPr>
        <w:t>概述</w:t>
      </w:r>
    </w:p>
    <w:p>
      <w:pPr>
        <w:spacing w:line="360" w:lineRule="auto"/>
        <w:ind w:firstLine="709"/>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学校在</w:t>
      </w:r>
      <w:r>
        <w:rPr>
          <w:rFonts w:ascii="仿宋" w:hAnsi="仿宋" w:eastAsia="仿宋"/>
          <w:color w:val="000000" w:themeColor="text1"/>
          <w:sz w:val="28"/>
          <w:szCs w:val="28"/>
          <w14:textFill>
            <w14:solidFill>
              <w14:schemeClr w14:val="tx1"/>
            </w14:solidFill>
          </w14:textFill>
        </w:rPr>
        <w:t>课程思政</w:t>
      </w:r>
      <w:r>
        <w:rPr>
          <w:rFonts w:hint="eastAsia" w:ascii="仿宋" w:hAnsi="仿宋" w:eastAsia="仿宋"/>
          <w:color w:val="000000" w:themeColor="text1"/>
          <w:sz w:val="28"/>
          <w:szCs w:val="28"/>
          <w14:textFill>
            <w14:solidFill>
              <w14:schemeClr w14:val="tx1"/>
            </w14:solidFill>
          </w14:textFill>
        </w:rPr>
        <w:t>建设已有成果</w:t>
      </w:r>
      <w:r>
        <w:rPr>
          <w:rFonts w:ascii="仿宋" w:hAnsi="仿宋" w:eastAsia="仿宋"/>
          <w:color w:val="000000" w:themeColor="text1"/>
          <w:sz w:val="28"/>
          <w:szCs w:val="28"/>
          <w14:textFill>
            <w14:solidFill>
              <w14:schemeClr w14:val="tx1"/>
            </w14:solidFill>
          </w14:textFill>
        </w:rPr>
        <w:t>和经验的基础上，</w:t>
      </w:r>
      <w:r>
        <w:rPr>
          <w:rFonts w:hint="eastAsia" w:ascii="仿宋" w:hAnsi="仿宋" w:eastAsia="仿宋"/>
          <w:color w:val="000000" w:themeColor="text1"/>
          <w:sz w:val="28"/>
          <w:szCs w:val="28"/>
          <w14:textFill>
            <w14:solidFill>
              <w14:schemeClr w14:val="tx1"/>
            </w14:solidFill>
          </w14:textFill>
        </w:rPr>
        <w:t>进一步将</w:t>
      </w:r>
      <w:r>
        <w:rPr>
          <w:rFonts w:ascii="仿宋" w:hAnsi="仿宋" w:eastAsia="仿宋"/>
          <w:color w:val="000000" w:themeColor="text1"/>
          <w:sz w:val="28"/>
          <w:szCs w:val="28"/>
          <w14:textFill>
            <w14:solidFill>
              <w14:schemeClr w14:val="tx1"/>
            </w14:solidFill>
          </w14:textFill>
        </w:rPr>
        <w:t>课程思政</w:t>
      </w:r>
      <w:r>
        <w:rPr>
          <w:rFonts w:hint="eastAsia" w:ascii="仿宋" w:hAnsi="仿宋" w:eastAsia="仿宋"/>
          <w:color w:val="000000" w:themeColor="text1"/>
          <w:sz w:val="28"/>
          <w:szCs w:val="28"/>
          <w14:textFill>
            <w14:solidFill>
              <w14:schemeClr w14:val="tx1"/>
            </w14:solidFill>
          </w14:textFill>
        </w:rPr>
        <w:t>建设融入</w:t>
      </w:r>
      <w:r>
        <w:rPr>
          <w:rFonts w:ascii="仿宋" w:hAnsi="仿宋" w:eastAsia="仿宋"/>
          <w:color w:val="000000" w:themeColor="text1"/>
          <w:sz w:val="28"/>
          <w:szCs w:val="28"/>
          <w14:textFill>
            <w14:solidFill>
              <w14:schemeClr w14:val="tx1"/>
            </w14:solidFill>
          </w14:textFill>
        </w:rPr>
        <w:t>地方高水平应用型高校建设</w:t>
      </w:r>
      <w:r>
        <w:rPr>
          <w:rFonts w:hint="eastAsia" w:ascii="仿宋" w:hAnsi="仿宋" w:eastAsia="仿宋"/>
          <w:color w:val="000000" w:themeColor="text1"/>
          <w:sz w:val="28"/>
          <w:szCs w:val="28"/>
          <w14:textFill>
            <w14:solidFill>
              <w14:schemeClr w14:val="tx1"/>
            </w14:solidFill>
          </w14:textFill>
        </w:rPr>
        <w:t>。进一步优化领导推进体制、理论研究机制、教师培训机制、质量保障机制、基层党组织引领机制、考核激励机制、协同育人机制、“思政+专业”教师队伍协同机制等八大建设，总体上构建了应用型高校课程思政建设模式。完成市教委部署的制药类、食品科学与工程专业课程思政指南编制。以迎接教学评估、学科评估为契机，进一步完善课程思政内容体系，进一步完善课程思政方法体系，进一步完善课程思政工作体系，确保思想政治教育贯穿教育教学全过程。</w:t>
      </w:r>
    </w:p>
    <w:p>
      <w:pPr>
        <w:spacing w:line="360" w:lineRule="auto"/>
        <w:ind w:firstLine="551" w:firstLineChars="196"/>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二</w:t>
      </w:r>
      <w:r>
        <w:rPr>
          <w:rFonts w:ascii="仿宋" w:hAnsi="仿宋" w:eastAsia="仿宋"/>
          <w:b/>
          <w:color w:val="000000" w:themeColor="text1"/>
          <w:sz w:val="28"/>
          <w:szCs w:val="28"/>
          <w14:textFill>
            <w14:solidFill>
              <w14:schemeClr w14:val="tx1"/>
            </w14:solidFill>
          </w14:textFill>
        </w:rPr>
        <w:t>、</w:t>
      </w:r>
      <w:r>
        <w:rPr>
          <w:rFonts w:hint="eastAsia" w:ascii="仿宋" w:hAnsi="仿宋" w:eastAsia="仿宋"/>
          <w:b/>
          <w:color w:val="000000" w:themeColor="text1"/>
          <w:sz w:val="28"/>
          <w:szCs w:val="28"/>
          <w14:textFill>
            <w14:solidFill>
              <w14:schemeClr w14:val="tx1"/>
            </w14:solidFill>
          </w14:textFill>
        </w:rPr>
        <w:t>课程思政建设情况</w:t>
      </w:r>
    </w:p>
    <w:p>
      <w:pPr>
        <w:spacing w:line="360" w:lineRule="auto"/>
        <w:ind w:firstLine="548" w:firstLineChars="196"/>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2022年，学校围绕落实立德树人根本任务，以实施高质量课程思政教学为目标导向，引导教师把授业、增智、润心有机结合，努力做到以大道引领传道、以大业引领授业、以大爱引领解惑，不断完善课程思政建设的内容体系、方法体系和工作体系。</w:t>
      </w:r>
    </w:p>
    <w:p>
      <w:pPr>
        <w:spacing w:line="360" w:lineRule="auto"/>
        <w:ind w:firstLine="548" w:firstLineChars="196"/>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一是开展“云端思政”，强化线上线下、课内课外一体化育人。在2022年上半年线上教学期间，组织各学院结合专业与课程实际创新育人途径，充分利用虚拟仿真教学软件和各类线上资源将课程思政融入云端教学，在课堂中引入典型案例、战疫故事和抗疫精神作为鲜活素材。开展线上教师沙龙、线上教研活动，加强教师在云端思政、教学内容等方面的互动交流，尤其是专题开展“云端诵读”“抗疫凝聚人心、读书点亮生活”、“携手同行，共克时艰”抗疫思政大课等主题活动，使得“云中教学”渐入佳境，促进思想政治教育在线上教学“浸润”式体验。</w:t>
      </w:r>
    </w:p>
    <w:p>
      <w:pPr>
        <w:spacing w:line="360" w:lineRule="auto"/>
        <w:ind w:firstLine="548" w:firstLineChars="196"/>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二是完成新一轮课程思政建设布局。依托香料香精化妆品与绿色化工、功能材料与智能制造、设计文创与创新管理三大特色学科专业群深化课程思政建设，与一流专业、一流课程相结合，立项建设3个课程思政教学研究分中心、8个课程思政示范专业、5个课程思政示范课程群和35门示范课程，完成新一轮课程思政建设布局。</w:t>
      </w:r>
    </w:p>
    <w:p>
      <w:pPr>
        <w:spacing w:line="360" w:lineRule="auto"/>
        <w:ind w:firstLine="548" w:firstLineChars="196"/>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三是市级课程思政示范项目取得优异成绩。获批上海市级课程思政教学研究示范中心；获课程思政示范课程15门，课程思政示范团队10个，课程思政教学名师3名。</w:t>
      </w:r>
    </w:p>
    <w:p>
      <w:pPr>
        <w:spacing w:line="360" w:lineRule="auto"/>
        <w:ind w:firstLine="548" w:firstLineChars="196"/>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四是提高教师育德能力，提供精准培训和服务。组织“课程思政”专题教师沙龙，指导60余名青年教师完成以课程思政为主要内容的上海高校青年教师培养资助计划的申报工作。开展2020-2021年青培计划项目进展情况的检查和督促，完成2022年课程思政研究中心理论研究课题的申报、评审和立项工作。</w:t>
      </w:r>
    </w:p>
    <w:p>
      <w:pPr>
        <w:spacing w:line="360" w:lineRule="auto"/>
        <w:ind w:firstLine="551" w:firstLineChars="196"/>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三</w:t>
      </w:r>
      <w:r>
        <w:rPr>
          <w:rFonts w:ascii="仿宋" w:hAnsi="仿宋" w:eastAsia="仿宋"/>
          <w:b/>
          <w:color w:val="000000" w:themeColor="text1"/>
          <w:sz w:val="28"/>
          <w:szCs w:val="28"/>
          <w14:textFill>
            <w14:solidFill>
              <w14:schemeClr w14:val="tx1"/>
            </w14:solidFill>
          </w14:textFill>
        </w:rPr>
        <w:t>、</w:t>
      </w:r>
      <w:r>
        <w:rPr>
          <w:rFonts w:hint="eastAsia" w:ascii="仿宋" w:hAnsi="仿宋" w:eastAsia="仿宋"/>
          <w:b/>
          <w:color w:val="000000" w:themeColor="text1"/>
          <w:sz w:val="28"/>
          <w:szCs w:val="28"/>
          <w14:textFill>
            <w14:solidFill>
              <w14:schemeClr w14:val="tx1"/>
            </w14:solidFill>
          </w14:textFill>
        </w:rPr>
        <w:t>重点工作取得成效</w:t>
      </w:r>
    </w:p>
    <w:p>
      <w:pPr>
        <w:spacing w:line="360" w:lineRule="auto"/>
        <w:ind w:firstLine="551" w:firstLineChars="196"/>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（一）课程思政改革整体认识进一步提升</w:t>
      </w:r>
    </w:p>
    <w:p>
      <w:pPr>
        <w:spacing w:line="360" w:lineRule="auto"/>
        <w:ind w:firstLine="709"/>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根据《高等学校课程思政建设指导纲要》要求，推动教师结合不同学科门类、不同类型课程的育人要求和特点，科学挖掘各类课程自身蕴含的思想政治教育资源，不断加强课堂教学设计，将科学挖掘的思想政治教育资源有机融入，全面规范教材、教辅及课外读物进校园管理，严格教材审核把关，加强数字教材建设与管理,推动课程教材建设增量提质，实现价值塑造、知识传授和能力培养的紧密融合。</w:t>
      </w:r>
    </w:p>
    <w:p>
      <w:pPr>
        <w:spacing w:line="360" w:lineRule="auto"/>
        <w:ind w:firstLine="709"/>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学校加强课程思政建设做好三个回归：一是回归学校育人本位；二是回归教书育人本位；三是回归学生本位。在工作推进中牢固树立卓越意识、创新意识、协同意识、开放意识、品牌意识等五个意识，在长效机制、教师培训、骨干人才培育、溢出效应、课程思政研究等五个方面积极发挥领航作用。为进一步深化人才培养“ASciT-OBE”模式提供了有效实施路径，促进课程思政建设进阶升级。</w:t>
      </w:r>
    </w:p>
    <w:p>
      <w:pPr>
        <w:spacing w:line="360" w:lineRule="auto"/>
        <w:ind w:firstLine="551" w:firstLineChars="196"/>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（二）课程思政内容建设取得新进展</w:t>
      </w:r>
    </w:p>
    <w:p>
      <w:pPr>
        <w:spacing w:line="360" w:lineRule="auto"/>
        <w:ind w:firstLine="709"/>
        <w:rPr>
          <w:rFonts w:ascii="仿宋" w:hAnsi="仿宋" w:eastAsia="仿宋"/>
          <w:sz w:val="28"/>
          <w:szCs w:val="28"/>
        </w:rPr>
      </w:pPr>
      <w:r>
        <w:rPr>
          <w:rFonts w:hint="eastAsia" w:ascii="仿宋" w:hAnsi="仿宋" w:eastAsia="仿宋"/>
          <w:sz w:val="28"/>
          <w:szCs w:val="28"/>
        </w:rPr>
        <w:t>围绕学校的“香料香精化妆品与绿色化工”“功能新材料和智能技术与先进制造”“设计文创与创新管理”三大特色学科专业群，设立3个课程思政教学研究分中心，探索构建分中心的运行机制，形成本学科专业群课程思政建设的工作规划、路径方法和典型经验。</w:t>
      </w:r>
    </w:p>
    <w:p>
      <w:pPr>
        <w:spacing w:line="360" w:lineRule="auto"/>
        <w:ind w:firstLine="709"/>
        <w:rPr>
          <w:rFonts w:ascii="仿宋" w:hAnsi="仿宋" w:eastAsia="仿宋"/>
          <w:sz w:val="28"/>
          <w:szCs w:val="28"/>
        </w:rPr>
      </w:pPr>
      <w:r>
        <w:rPr>
          <w:rFonts w:hint="eastAsia" w:ascii="仿宋" w:hAnsi="仿宋" w:eastAsia="仿宋"/>
          <w:sz w:val="28"/>
          <w:szCs w:val="28"/>
        </w:rPr>
        <w:t>结合“四新”专业建设和一流本科专业建设，建设8个课程思政示范专业建设。各专业围绕“ASciT-OBE</w:t>
      </w:r>
      <w:r>
        <w:rPr>
          <w:rFonts w:ascii="仿宋" w:hAnsi="仿宋" w:eastAsia="仿宋"/>
          <w:sz w:val="28"/>
          <w:szCs w:val="28"/>
        </w:rPr>
        <w:t>”</w:t>
      </w:r>
      <w:r>
        <w:rPr>
          <w:rFonts w:hint="eastAsia" w:ascii="仿宋" w:hAnsi="仿宋" w:eastAsia="仿宋"/>
          <w:sz w:val="28"/>
          <w:szCs w:val="28"/>
        </w:rPr>
        <w:t>人才培养模式改革，在培养目标、毕业要求、课程体系、教学大纲、考核评价和师资培训等方面进行系统梳理和建设，形成联系紧密、彼此支撑的课程思政教学体系和管理体系，将学生关键能力的培养落到实处。</w:t>
      </w:r>
    </w:p>
    <w:p>
      <w:pPr>
        <w:spacing w:line="360" w:lineRule="auto"/>
        <w:ind w:firstLine="709"/>
        <w:rPr>
          <w:rFonts w:ascii="仿宋" w:hAnsi="仿宋" w:eastAsia="仿宋"/>
          <w:sz w:val="28"/>
          <w:szCs w:val="28"/>
        </w:rPr>
      </w:pPr>
      <w:r>
        <w:rPr>
          <w:rFonts w:hint="eastAsia" w:ascii="仿宋" w:hAnsi="仿宋" w:eastAsia="仿宋"/>
          <w:sz w:val="28"/>
          <w:szCs w:val="28"/>
        </w:rPr>
        <w:t>建设领航课程35门、领航课程群5项，推动领航课程建设高质量发展。各领航课程要探索课程思政课程群建设的内在逻辑和方法，系统挖掘和梳理各门课程蕴含的思政教育资源，巩固拓展党史学习教育成果，优化课程思政内容供给；要突出学生关键能力的培养，明确课程思政教学目标，修订课程大纲，完善教学内容体系和考核评价方法；要突出教学创新，优化教学设计，形成学习目标-教学内容-教学方式-实施成效-教学反思的典型案例。</w:t>
      </w:r>
    </w:p>
    <w:p>
      <w:pPr>
        <w:spacing w:line="360" w:lineRule="auto"/>
        <w:ind w:firstLine="551" w:firstLineChars="196"/>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（三）各学院课程思政建设方案进一步明确</w:t>
      </w:r>
    </w:p>
    <w:p>
      <w:pPr>
        <w:spacing w:line="360" w:lineRule="auto"/>
        <w:ind w:firstLine="709"/>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相关</w:t>
      </w:r>
      <w:r>
        <w:rPr>
          <w:rFonts w:ascii="仿宋" w:hAnsi="仿宋" w:eastAsia="仿宋"/>
          <w:color w:val="000000" w:themeColor="text1"/>
          <w:sz w:val="28"/>
          <w:szCs w:val="28"/>
          <w14:textFill>
            <w14:solidFill>
              <w14:schemeClr w14:val="tx1"/>
            </w14:solidFill>
          </w14:textFill>
        </w:rPr>
        <w:t>学院</w:t>
      </w:r>
      <w:r>
        <w:rPr>
          <w:rFonts w:hint="eastAsia" w:ascii="仿宋" w:hAnsi="仿宋" w:eastAsia="仿宋"/>
          <w:color w:val="000000" w:themeColor="text1"/>
          <w:sz w:val="28"/>
          <w:szCs w:val="28"/>
          <w14:textFill>
            <w14:solidFill>
              <w14:schemeClr w14:val="tx1"/>
            </w14:solidFill>
          </w14:textFill>
        </w:rPr>
        <w:t>立足</w:t>
      </w:r>
      <w:r>
        <w:rPr>
          <w:rFonts w:ascii="仿宋" w:hAnsi="仿宋" w:eastAsia="仿宋"/>
          <w:color w:val="000000" w:themeColor="text1"/>
          <w:sz w:val="28"/>
          <w:szCs w:val="28"/>
          <w14:textFill>
            <w14:solidFill>
              <w14:schemeClr w14:val="tx1"/>
            </w14:solidFill>
          </w14:textFill>
        </w:rPr>
        <w:t>各自的学科专业特色</w:t>
      </w:r>
      <w:r>
        <w:rPr>
          <w:rFonts w:hint="eastAsia" w:ascii="仿宋" w:hAnsi="仿宋" w:eastAsia="仿宋"/>
          <w:color w:val="000000" w:themeColor="text1"/>
          <w:sz w:val="28"/>
          <w:szCs w:val="28"/>
          <w14:textFill>
            <w14:solidFill>
              <w14:schemeClr w14:val="tx1"/>
            </w14:solidFill>
          </w14:textFill>
        </w:rPr>
        <w:t>，从</w:t>
      </w:r>
      <w:r>
        <w:rPr>
          <w:rFonts w:ascii="仿宋" w:hAnsi="仿宋" w:eastAsia="仿宋"/>
          <w:color w:val="000000" w:themeColor="text1"/>
          <w:sz w:val="28"/>
          <w:szCs w:val="28"/>
          <w14:textFill>
            <w14:solidFill>
              <w14:schemeClr w14:val="tx1"/>
            </w14:solidFill>
          </w14:textFill>
        </w:rPr>
        <w:t>组织管理体制、</w:t>
      </w:r>
      <w:r>
        <w:rPr>
          <w:rFonts w:hint="eastAsia" w:ascii="仿宋" w:hAnsi="仿宋" w:eastAsia="仿宋"/>
          <w:color w:val="000000" w:themeColor="text1"/>
          <w:sz w:val="28"/>
          <w:szCs w:val="28"/>
          <w14:textFill>
            <w14:solidFill>
              <w14:schemeClr w14:val="tx1"/>
            </w14:solidFill>
          </w14:textFill>
        </w:rPr>
        <w:t>教师培训制度、教研制度、考核激励制度、“金课”建设机制等体制机制建设，围绕落实课程思政示范中心、示范专业、领航课程建设任务与目标</w:t>
      </w:r>
      <w:r>
        <w:rPr>
          <w:rFonts w:ascii="仿宋" w:hAnsi="仿宋" w:eastAsia="仿宋"/>
          <w:color w:val="000000" w:themeColor="text1"/>
          <w:sz w:val="28"/>
          <w:szCs w:val="28"/>
          <w14:textFill>
            <w14:solidFill>
              <w14:schemeClr w14:val="tx1"/>
            </w14:solidFill>
          </w14:textFill>
        </w:rPr>
        <w:t>，</w:t>
      </w:r>
      <w:r>
        <w:rPr>
          <w:rFonts w:hint="eastAsia" w:ascii="仿宋" w:hAnsi="仿宋" w:eastAsia="仿宋"/>
          <w:color w:val="000000" w:themeColor="text1"/>
          <w:sz w:val="28"/>
          <w:szCs w:val="28"/>
          <w14:textFill>
            <w14:solidFill>
              <w14:schemeClr w14:val="tx1"/>
            </w14:solidFill>
          </w14:textFill>
        </w:rPr>
        <w:t>形成建设方案。一系列的建设方案的出台与实施，进一步引导和保障教师更加乐于课程思政改革、更加擅长课程思政改革、更加坚持课程思政改革，整体提升全校课程思政教育教学改革的质量和水平。</w:t>
      </w:r>
    </w:p>
    <w:p>
      <w:pPr>
        <w:spacing w:line="360" w:lineRule="auto"/>
        <w:ind w:firstLine="709"/>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在建设机制上更加完备。例如，化学与环境工程学院强化专业育人链与产业链相衔接，编制专业课程思政教学指南和专业课程典型教学案例。该学院建设成果《深度融合生物医药“四化”新业态，探索打造一流应用型化工专业》获2022年上海市教学成果一等奖。生态技术与工程学院将将课程思政写入《生态技术与工程学院2020-2022年岗位聘任与考核办法》，作为教师评聘、考核、评优奖励等的重要内容。经济与管理强化激励措施，抓课程大纲修订、案例教学、教学方法设计。</w:t>
      </w:r>
    </w:p>
    <w:p>
      <w:pPr>
        <w:spacing w:line="360" w:lineRule="auto"/>
        <w:ind w:firstLine="709"/>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在实施方案更加细化。例如，香料香精化妆品学部课程思政教学交流会，邀请河南农业大学烟草学院院长赵铭钦教授等开展交流。城市建设与安全工程学院紧密结合人才培养需求，不断推进以“能力模块对接岗位需求”修订人才培养方案。材料科学与工程学院加强课程思政教研文化建设。各教研在每周五的教学研讨中纳入课程思政内涵，确保全员参与、集中研讨备课，形成群体效应和课程思政集体教研制度。</w:t>
      </w:r>
    </w:p>
    <w:p>
      <w:pPr>
        <w:spacing w:line="360" w:lineRule="auto"/>
        <w:ind w:firstLine="709"/>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在具体行动上更加自觉。例如，机械工程学院完善学院课程思政图书资源，一体化推进本科生与研究生课程思政。理学院胡洪江、谭默言两位领衔教师分别制定高等数学、大学物理等课程思政标准课件，将课程思政落实到教学大纲、教案和授课课件。</w:t>
      </w:r>
    </w:p>
    <w:p>
      <w:pPr>
        <w:spacing w:line="360" w:lineRule="auto"/>
        <w:ind w:firstLine="551" w:firstLineChars="196"/>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四、存在的不足及原因</w:t>
      </w:r>
    </w:p>
    <w:p>
      <w:pPr>
        <w:spacing w:line="360" w:lineRule="auto"/>
        <w:ind w:firstLine="548" w:firstLineChars="196"/>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1.思政元素的引领性和适切性有待提升</w:t>
      </w:r>
    </w:p>
    <w:p>
      <w:pPr>
        <w:spacing w:line="360" w:lineRule="auto"/>
        <w:ind w:firstLine="548" w:firstLineChars="196"/>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由于对未来工程师关键能力的育人规律认识还不够深入，立足学科专业特色的思政元素仍然有待深入系统地挖掘，导致课程思政的目标和内容不能完全落实未来卓越工程师的培养要求，思政教育资源的挖掘存在“两张皮”“贴标签”的现象。</w:t>
      </w:r>
    </w:p>
    <w:p>
      <w:pPr>
        <w:spacing w:line="360" w:lineRule="auto"/>
        <w:ind w:firstLine="548" w:firstLineChars="196"/>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2.课程思政的路径方法还需进一步凝练</w:t>
      </w:r>
    </w:p>
    <w:p>
      <w:pPr>
        <w:spacing w:line="360" w:lineRule="auto"/>
        <w:ind w:firstLine="548" w:firstLineChars="196"/>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实践教学环节的课程思政建设相对薄弱，在如何将课程思政与劳育、美育和创新创业教育相结合方面还需专题探索。课程思政的路径方法未能彰显产教融合、校企协同育人的特色，在同类高校中没有充分发挥示范引领作用。</w:t>
      </w:r>
    </w:p>
    <w:p>
      <w:pPr>
        <w:spacing w:line="360" w:lineRule="auto"/>
        <w:ind w:firstLine="548" w:firstLineChars="196"/>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3.课程思政的评价激励机制仍是难点</w:t>
      </w:r>
    </w:p>
    <w:p>
      <w:pPr>
        <w:spacing w:line="360" w:lineRule="auto"/>
        <w:ind w:firstLine="548" w:firstLineChars="196"/>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对课程思政育人成效的评价工作始终是重点和难点问题，也是制约课程思政2.0建设的“瓶颈”。当前课程思政的评价激励没有完全体现“学生中心”和“增值评价”，距离高质量课程思政建设的科学性和实效性要求还有差距。</w:t>
      </w:r>
    </w:p>
    <w:p>
      <w:pPr>
        <w:spacing w:line="360" w:lineRule="auto"/>
        <w:ind w:firstLine="551" w:firstLineChars="196"/>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五、下一步工作重点</w:t>
      </w:r>
    </w:p>
    <w:p>
      <w:pPr>
        <w:spacing w:line="360" w:lineRule="auto"/>
        <w:ind w:firstLine="548" w:firstLineChars="196"/>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以学习宣传贯彻党的二十大精神为重点。引导教师立足立德树人根本任务和“为党育人、为国育才”的使命追求，全面、系统、深入地学深悟透党的二十大精神；紧密结合学术研究和当下现实，在课程思政建设中做到会学、会融、会讲，让党的创新理论带着“热气、地气”进课堂。</w:t>
      </w:r>
    </w:p>
    <w:p>
      <w:pPr>
        <w:spacing w:line="360" w:lineRule="auto"/>
        <w:ind w:firstLine="548" w:firstLineChars="196"/>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一是抓课程建设“主战场”，强化实践育人特色，弘扬劳动教育、工匠精神。重点建好校企合作课程、创新创业课程和校企合作课程。校企共建课程思政教学实践基地，组织评选实践类课程思政教学设计大赛，建设体现课程思政要求的示范课程群、校企特色教材和工程教育案例库。</w:t>
      </w:r>
    </w:p>
    <w:p>
      <w:pPr>
        <w:spacing w:line="360" w:lineRule="auto"/>
        <w:ind w:firstLine="548" w:firstLineChars="196"/>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二是抓教师队伍“主力军”，强化提升育德“四力”，打造育人“金师”。提高教师把握正确方向的政治力、创新开展育德教育的思想力、系统融合育德内容的设计力和准确把握育德时机的执行力。紧抓“关键少数”“青年教师”等重点群体实施的培训。加强教师发展的分类指导，将课程思政培训覆盖教师职业生涯“全周期”。推进基层教学组织专题活动常态化、制度化，打造课程思政研究实践共同体，支持教师基于校本研究形成各具特色的育人理念和教学风格。</w:t>
      </w:r>
    </w:p>
    <w:p>
      <w:pPr>
        <w:spacing w:line="360" w:lineRule="auto"/>
        <w:ind w:firstLine="548" w:firstLineChars="196"/>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三是抓课堂教学“主渠道”，强化培养创造性解决问题的高阶能力。组织开展PBL（基于问题学习）、CBL（基于案例学习）融入课程思政专题教改。总结提升4S教学法、工程案例启智、人物故事感悟、职业规范引导等一系列有效的经验方法。围绕学习贯彻党的“二十大”精神组织开展重点活动，评选“示范特色课堂”。举办“上应研讲”“企业家讲坛”，协调整合校内外优质学科资源和企业育人资源开展课程思政建设。</w:t>
      </w:r>
    </w:p>
    <w:p>
      <w:pPr>
        <w:spacing w:line="360" w:lineRule="auto"/>
        <w:ind w:firstLine="548" w:firstLineChars="196"/>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四是抓理论研究“主阵地”，强化课程思政学术味。依托已经设立的4个课程思政教学研究分中心，打造学科专业课程思政“智库”。结合各学科专业的前沿热点和知识体系建设素材库，优化内容供给。</w:t>
      </w:r>
    </w:p>
    <w:p>
      <w:pPr>
        <w:spacing w:line="360" w:lineRule="auto"/>
        <w:ind w:firstLine="548" w:firstLineChars="196"/>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五是抓制度文化主旋律，强化“大思政课”建设的制度协同和评价激励。围绕课程教学、社会实践、师资培训和校企合作等进行系统制度建设，完善学院及专业层面的课程思政教学体系和管理体系。基于卓越绩效模型完善学院、专业、课程一体化质量评价指标体系。以课程考核为重点，细化课程思政教学目标达成度评价。持续选树和打造一批课程思政示范课程、教学名师和教学团队。</w:t>
      </w:r>
    </w:p>
    <w:p>
      <w:pPr>
        <w:widowControl/>
        <w:spacing w:line="360" w:lineRule="auto"/>
        <w:jc w:val="left"/>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br w:type="page"/>
      </w:r>
    </w:p>
    <w:p>
      <w:pPr>
        <w:spacing w:line="360" w:lineRule="auto"/>
        <w:rPr>
          <w:rFonts w:ascii="仿宋" w:hAnsi="仿宋" w:eastAsia="仿宋"/>
          <w:sz w:val="28"/>
          <w:szCs w:val="28"/>
        </w:rPr>
      </w:pPr>
      <w:r>
        <w:rPr>
          <w:rFonts w:hint="eastAsia" w:ascii="仿宋" w:hAnsi="仿宋" w:eastAsia="仿宋"/>
          <w:sz w:val="28"/>
          <w:szCs w:val="28"/>
        </w:rPr>
        <w:t>附件5</w:t>
      </w:r>
    </w:p>
    <w:p>
      <w:pPr>
        <w:pStyle w:val="2"/>
        <w:spacing w:before="0" w:after="0" w:line="360" w:lineRule="auto"/>
        <w:ind w:firstLine="602" w:firstLineChars="200"/>
        <w:jc w:val="center"/>
        <w:rPr>
          <w:rFonts w:asciiTheme="minorEastAsia" w:hAnsiTheme="minorEastAsia"/>
          <w:sz w:val="30"/>
          <w:szCs w:val="30"/>
        </w:rPr>
      </w:pPr>
      <w:bookmarkStart w:id="35" w:name="_Toc131671197"/>
      <w:r>
        <w:rPr>
          <w:rFonts w:hint="eastAsia" w:asciiTheme="minorEastAsia" w:hAnsiTheme="minorEastAsia"/>
          <w:sz w:val="30"/>
          <w:szCs w:val="30"/>
        </w:rPr>
        <w:t>课程思政教学研究示范中心申报书（选摘）</w:t>
      </w:r>
      <w:bookmarkEnd w:id="35"/>
    </w:p>
    <w:p>
      <w:pPr>
        <w:spacing w:line="360" w:lineRule="auto"/>
        <w:ind w:firstLine="548" w:firstLineChars="196"/>
        <w:rPr>
          <w:rFonts w:ascii="仿宋" w:hAnsi="仿宋" w:eastAsia="仿宋"/>
          <w:color w:val="000000" w:themeColor="text1"/>
          <w:sz w:val="28"/>
          <w:szCs w:val="28"/>
          <w14:textFill>
            <w14:solidFill>
              <w14:schemeClr w14:val="tx1"/>
            </w14:solidFill>
          </w14:textFill>
        </w:rPr>
      </w:pPr>
    </w:p>
    <w:p>
      <w:pPr>
        <w:spacing w:line="360" w:lineRule="auto"/>
        <w:ind w:firstLine="551" w:firstLineChars="196"/>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一、基本情况</w:t>
      </w:r>
    </w:p>
    <w:p>
      <w:pPr>
        <w:snapToGrid w:val="0"/>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中心成立于2019年11月，是沪上高校设立最早的课程思政教学研究中心。中心由校长兼任主任，成员由教务处、教师工作部、研究生院、马克思主义学院等部门的专兼职人员组成。中心聘请24位校内外专家担任特聘研究员，开展专题研究。设立课程思政教学指导委员会，审议审定质量标准、管理制度和重要事项。下设办公室，设专职人员负责日常管理服务工作。</w:t>
      </w:r>
    </w:p>
    <w:p>
      <w:pPr>
        <w:snapToGrid w:val="0"/>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中心在学校党委领导下开展工作，形成了组织决策、运行实施和专家支持三个相互支撑的运行子系统。每学期固定向党委常委会专题汇报2次，确立工作要点，在重点任务、资源配置等方面做出决策；每月固定召开1次工作例会，推进落实课题研究、课程建设、教师培训和考核评价等工作；课程思政教学指导委员会每学期至少召开1次会议，以专题推进和日常指导相结合的方式为学校各层次的课程思政建设提供支持。</w:t>
      </w:r>
    </w:p>
    <w:p>
      <w:pPr>
        <w:spacing w:line="360" w:lineRule="auto"/>
        <w:ind w:firstLine="551" w:firstLineChars="196"/>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二、内容建设</w:t>
      </w:r>
    </w:p>
    <w:p>
      <w:pPr>
        <w:spacing w:line="360" w:lineRule="auto"/>
        <w:ind w:firstLine="551" w:firstLineChars="196"/>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（一）发展定位和主要职责</w:t>
      </w:r>
    </w:p>
    <w:p>
      <w:pPr>
        <w:snapToGrid w:val="0"/>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发展定位：坚持“应用导向、技术创新”的特色定位，强化“思教融合”“产教融合”“通专融合”等理念，开展高质量的课程思政理论研究、教师培训、成果交流和支持服务，努力建设成为面向上海及长三角区域地方应用型高校，在全国有一定影响力的课程思政教学研究示范中心。</w:t>
      </w:r>
    </w:p>
    <w:p>
      <w:pPr>
        <w:snapToGrid w:val="0"/>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主要职责：1.围绕高素质应用创新型人才培养目标，从学科专业、课程建设、课堂教学和评价激励等方面一体化设计课程思政。2.结合特色学科专业群建设，开展课程思政、专业思政，编制教学指南和教学案例。3.加强校企协同育人和信息技术的融合，探索创新路径方法；4.建好课程思政示范项目，完善评价激励和资源支持机制；5.建设丰富立体的研修体系，组织教学观摩和培训，扩大示范引领和经验辐射。</w:t>
      </w:r>
    </w:p>
    <w:p>
      <w:pPr>
        <w:spacing w:line="360" w:lineRule="auto"/>
        <w:ind w:firstLine="551" w:firstLineChars="196"/>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（二）建设理念目标和已开展建设内容</w:t>
      </w:r>
    </w:p>
    <w:p>
      <w:pPr>
        <w:snapToGrid w:val="0"/>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1.建设理念：落实“思教融合”，聚焦“厚德精技”</w:t>
      </w:r>
    </w:p>
    <w:p>
      <w:pPr>
        <w:snapToGrid w:val="0"/>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落实“思教融合”理念，依托“爱科技-成果导向”（ASciT-OBE）培养模式改革整体谋划。抓住“厚德”“精技”2个关键点，确立应用创新型人才“思想政治核心素养”32要点和“爱科技”（ASciT）9大关键能力，完善课程思政内容体系、方法体系和工作体系，提高科学性和实效性。</w:t>
      </w:r>
    </w:p>
    <w:p>
      <w:pPr>
        <w:snapToGrid w:val="0"/>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2.发展目标：理念先进、成果丰富、本硕一体、机制完备的地方高水平建设高校课程思政教学研究示范中心</w:t>
      </w:r>
    </w:p>
    <w:p>
      <w:pPr>
        <w:snapToGrid w:val="0"/>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立足办学定位，秉承“学生为本、教师为要、制度为先、成果为重、文化为魂”的宗旨，用</w:t>
      </w:r>
      <w:r>
        <w:rPr>
          <w:rFonts w:ascii="仿宋" w:hAnsi="仿宋" w:eastAsia="仿宋" w:cs="仿宋"/>
          <w:color w:val="000000"/>
          <w:kern w:val="0"/>
          <w:sz w:val="28"/>
          <w:szCs w:val="28"/>
        </w:rPr>
        <w:t>3-5</w:t>
      </w:r>
      <w:r>
        <w:rPr>
          <w:rFonts w:hint="eastAsia" w:ascii="仿宋" w:hAnsi="仿宋" w:eastAsia="仿宋" w:cs="仿宋"/>
          <w:color w:val="000000"/>
          <w:kern w:val="0"/>
          <w:sz w:val="28"/>
          <w:szCs w:val="28"/>
        </w:rPr>
        <w:t>年的时间，打造一批课程思政名师名课，凝练一批具有应用型本科特色、本硕一体化的研究成果、教学指南、优秀案例和线上资源库。</w:t>
      </w:r>
    </w:p>
    <w:p>
      <w:pPr>
        <w:snapToGrid w:val="0"/>
        <w:spacing w:line="360" w:lineRule="auto"/>
        <w:ind w:firstLine="560" w:firstLineChars="200"/>
        <w:rPr>
          <w:rFonts w:ascii="仿宋" w:hAnsi="仿宋" w:eastAsia="仿宋" w:cs="仿宋_GB2312"/>
          <w:kern w:val="0"/>
          <w:sz w:val="28"/>
          <w:szCs w:val="28"/>
        </w:rPr>
      </w:pPr>
      <w:r>
        <w:rPr>
          <w:rFonts w:hint="eastAsia" w:ascii="仿宋" w:hAnsi="仿宋" w:eastAsia="仿宋" w:cs="仿宋_GB2312"/>
          <w:bCs/>
          <w:kern w:val="0"/>
          <w:sz w:val="28"/>
          <w:szCs w:val="28"/>
        </w:rPr>
        <w:t>3.建设情况</w:t>
      </w:r>
    </w:p>
    <w:p>
      <w:pPr>
        <w:spacing w:line="360" w:lineRule="auto"/>
        <w:ind w:firstLine="480"/>
        <w:rPr>
          <w:rFonts w:ascii="仿宋" w:hAnsi="仿宋" w:eastAsia="仿宋" w:cs="仿宋_GB2312"/>
          <w:kern w:val="0"/>
          <w:sz w:val="28"/>
          <w:szCs w:val="28"/>
        </w:rPr>
      </w:pPr>
      <w:r>
        <w:rPr>
          <w:rFonts w:hint="eastAsia" w:ascii="仿宋" w:hAnsi="仿宋" w:eastAsia="仿宋" w:cs="仿宋_GB2312"/>
          <w:bCs/>
          <w:kern w:val="0"/>
          <w:sz w:val="28"/>
          <w:szCs w:val="28"/>
        </w:rPr>
        <w:t>（1）试点探索期——构建“三位一体”课程体系</w:t>
      </w:r>
    </w:p>
    <w:p>
      <w:pPr>
        <w:snapToGrid w:val="0"/>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以2017年获批上海市课程思政教学改革重点培育校为契机，设立课程思政教学改革办公室。设计“课程思政育人思政树”，出台《关于进一步推进课程思政教育教学改革的意见》，建设了《中国智造》《美丽中国》两门中国系列课程，《中国古代技术》《“一带一路”车文同轨》等15门综合素养课程和120门专业试点课程。在制度建设、课程建设、师资培训、评价考核等方面都取得打下坚实基础。</w:t>
      </w:r>
    </w:p>
    <w:p>
      <w:pPr>
        <w:spacing w:line="360" w:lineRule="auto"/>
        <w:ind w:firstLine="480"/>
        <w:rPr>
          <w:rFonts w:ascii="仿宋" w:hAnsi="仿宋" w:eastAsia="仿宋" w:cs="仿宋_GB2312"/>
          <w:bCs/>
          <w:kern w:val="0"/>
          <w:sz w:val="28"/>
          <w:szCs w:val="28"/>
        </w:rPr>
      </w:pPr>
      <w:r>
        <w:rPr>
          <w:rFonts w:hint="eastAsia" w:ascii="仿宋" w:hAnsi="仿宋" w:eastAsia="仿宋" w:cs="仿宋_GB2312"/>
          <w:bCs/>
          <w:kern w:val="0"/>
          <w:sz w:val="28"/>
          <w:szCs w:val="28"/>
        </w:rPr>
        <w:t>（2）进阶升级期——组织实施“五大工程”</w:t>
      </w:r>
    </w:p>
    <w:p>
      <w:pPr>
        <w:snapToGrid w:val="0"/>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以2019年获批上海高校课程思政整体改革领航高校为契机，当年成立沪上高校首家课程思政研究中心。确立实施课程思政建设“五大工程”（金课建设、名师培育、质量保障、理论研究、考核激励），常设明德讲坛和教师沙龙两个平台，完善集体教研制度，建设领航学院、领航团队和领航课程，推进全校课程思政从1.0向2.0进阶升级。</w:t>
      </w:r>
    </w:p>
    <w:p>
      <w:pPr>
        <w:spacing w:line="360" w:lineRule="auto"/>
        <w:ind w:firstLine="480"/>
        <w:rPr>
          <w:rFonts w:ascii="仿宋" w:hAnsi="仿宋" w:eastAsia="仿宋" w:cs="仿宋_GB2312"/>
          <w:bCs/>
          <w:kern w:val="0"/>
          <w:sz w:val="28"/>
          <w:szCs w:val="28"/>
        </w:rPr>
      </w:pPr>
      <w:r>
        <w:rPr>
          <w:rFonts w:hint="eastAsia" w:ascii="仿宋" w:hAnsi="仿宋" w:eastAsia="仿宋" w:cs="仿宋_GB2312"/>
          <w:bCs/>
          <w:kern w:val="0"/>
          <w:sz w:val="28"/>
          <w:szCs w:val="28"/>
        </w:rPr>
        <w:t>（3）体制机制深化期——全面落实“思教融合”</w:t>
      </w:r>
    </w:p>
    <w:p>
      <w:pPr>
        <w:snapToGrid w:val="0"/>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以2020年教育部出台《高等学校课程思政建设指导纲要》和上海市教委《关于深入推进上海高校课程思政建设的实施意见》为指导，将课程思政与教师思想政治教育紧密结合，与一流专业、一流课程建设紧密结合，一体化设计本科生、研究生课程思政。全面修订本科教学质量标准，建设“荣誉课程-示范课程-重点课程”三级领航体系，组织完成两个专业类课程思政教学指南的编写，制定课程思政“十四五”专项规划，出台“二级学院课程思政建设考核指标体系”，基于产教融合创新研究生企业导师思政模式。</w:t>
      </w:r>
    </w:p>
    <w:p>
      <w:pPr>
        <w:spacing w:line="360" w:lineRule="auto"/>
        <w:ind w:firstLine="551" w:firstLineChars="196"/>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（三）探索创新情况</w:t>
      </w:r>
    </w:p>
    <w:p>
      <w:pPr>
        <w:snapToGrid w:val="0"/>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1.马克思主义学院思想引领、政治把关，确保全程参与、同向同行</w:t>
      </w:r>
    </w:p>
    <w:p>
      <w:pPr>
        <w:snapToGrid w:val="0"/>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选派思政骨干教师与各学院“一对一”全覆盖无缝结对。从教学设计到集体备课再到案例讨论等，均有思政教师全程参与。组建由思政教师、专业教师和辅导员组成的课程思政临时党支部，开展课程思政主题党日。开展专题联合教研，共同探索讨论式教学、翻转课堂、情景模拟与角色体验、项链式教学等，实现专业课与思政课同向同行。</w:t>
      </w:r>
    </w:p>
    <w:p>
      <w:pPr>
        <w:snapToGrid w:val="0"/>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2.依托ASciT-OBE培养模式改革系统实施，做到统筹谋划、全面推进</w:t>
      </w:r>
    </w:p>
    <w:p>
      <w:pPr>
        <w:snapToGrid w:val="0"/>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一是目标与标准层面，修订11项本科教学质量标准，将思想政治核心素养32要点和“爱科技”（ASciT）9大关键能力全面融入其中。修订55个专业的培养方案和2500门课程的教学大纲。二是内容与方法层面，建设“荣誉课程-示范课程-重点课程”三级领航课程共200门，推广4S教学法，建设课程思政线上展示平台，出版《厚德·精技—应用型本科课程思政教学设计50例》。三是评价与推广层面，探索全流程质量管理，将课程思政建设纳入学校重大执行力考核，制定《课程思政二级学院考核指标体系》。</w:t>
      </w:r>
    </w:p>
    <w:p>
      <w:pPr>
        <w:snapToGrid w:val="0"/>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3.以教师发展、学生成长为落脚点，强化师生共育、教学相长。</w:t>
      </w:r>
    </w:p>
    <w:p>
      <w:pPr>
        <w:snapToGrid w:val="0"/>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强化课程思政赋能“金课”建设，统筹课程思政、专业思政与一流课程、一流专业建设。明确基层教学组织建设职责，立足学科优势挖掘专业课程思政资源。开展“时代·应用”专业文化育人社会实践及宣讲活动，将课程思政、社会实践、理论宣讲融为一体，增强了课程思政育人成效。设置</w:t>
      </w:r>
      <w:r>
        <w:rPr>
          <w:rFonts w:ascii="仿宋" w:hAnsi="仿宋" w:eastAsia="仿宋" w:cs="仿宋"/>
          <w:color w:val="000000"/>
          <w:kern w:val="0"/>
          <w:sz w:val="28"/>
          <w:szCs w:val="28"/>
        </w:rPr>
        <w:t>“厚德精技 上应研讲”系列讲坛</w:t>
      </w:r>
      <w:r>
        <w:rPr>
          <w:rFonts w:hint="eastAsia" w:ascii="仿宋" w:hAnsi="仿宋" w:eastAsia="仿宋" w:cs="仿宋"/>
          <w:color w:val="000000"/>
          <w:kern w:val="0"/>
          <w:sz w:val="28"/>
          <w:szCs w:val="28"/>
        </w:rPr>
        <w:t>，</w:t>
      </w:r>
      <w:r>
        <w:rPr>
          <w:rFonts w:ascii="仿宋" w:hAnsi="仿宋" w:eastAsia="仿宋" w:cs="仿宋"/>
          <w:color w:val="000000"/>
          <w:kern w:val="0"/>
          <w:sz w:val="28"/>
          <w:szCs w:val="28"/>
        </w:rPr>
        <w:t>培养具有社会责任感、</w:t>
      </w:r>
      <w:r>
        <w:rPr>
          <w:rFonts w:hint="eastAsia" w:ascii="仿宋" w:hAnsi="仿宋" w:eastAsia="仿宋" w:cs="仿宋"/>
          <w:color w:val="000000"/>
          <w:kern w:val="0"/>
          <w:sz w:val="28"/>
          <w:szCs w:val="28"/>
        </w:rPr>
        <w:t>具备高水平应用创新能力的研究生。</w:t>
      </w:r>
    </w:p>
    <w:p>
      <w:pPr>
        <w:spacing w:line="360" w:lineRule="auto"/>
        <w:ind w:firstLine="551" w:firstLineChars="196"/>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（四）资源建设情况</w:t>
      </w:r>
    </w:p>
    <w:p>
      <w:pPr>
        <w:snapToGrid w:val="0"/>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1.集聚多方资源，做大做强思政育人“同心圆”。</w:t>
      </w:r>
    </w:p>
    <w:p>
      <w:pPr>
        <w:snapToGrid w:val="0"/>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与学校所在的徐汇区、奉贤区及其周边街道乡镇、企事业单位开展联建共建，建设相关教育基地。依托徐汇区知识产权战略发展高地和丰富的文创资源，联合建设现代产业学院。依托奉贤区“贤文化”优质资源，将全国文明村镇杨王村作为社会实践教学基地，定期开展现场教学，加强了课程融入与实践的落实。</w:t>
      </w:r>
    </w:p>
    <w:p>
      <w:pPr>
        <w:snapToGrid w:val="0"/>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2.突出应用技术，产教融合共建育人平台</w:t>
      </w:r>
    </w:p>
    <w:p>
      <w:pPr>
        <w:snapToGrid w:val="0"/>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在学校建设的7个现代产业学院中，明确将课程思政作为重要的建设内容之一。实施“引企入教”专项工程，引进优秀企业专家共建100门校企合作课程和100项校企合作实验，共建体现课程思政要求的校企合作教材和教学案例集，共同打造课程思政的“鲜活课堂”。</w:t>
      </w:r>
    </w:p>
    <w:p>
      <w:pPr>
        <w:snapToGrid w:val="0"/>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3.加强推广共享，发挥校园文化品牌功效</w:t>
      </w:r>
    </w:p>
    <w:p>
      <w:pPr>
        <w:snapToGrid w:val="0"/>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连续4年举办中国（上海）萱草文化节、连续10年举办中华母亲节，弘扬“小孝尊长、中孝敬业、大孝报国”的传统孝道美德，打造成为学校乃至上海高校的品牌。依托学科型社团和企业冠名大赛营造工程创新文化。学校生态学院植物园被列为上海市科普教育基地、上海“市民修身活动”市级示范点。近3年投入200余万元，整合校内外优质学科资源和企业育人资源开展课程建设，投入专项资金完成了中国系列课和部分综合素养课、专业育人课的慕课建设，公开向社会开放。</w:t>
      </w:r>
    </w:p>
    <w:p>
      <w:pPr>
        <w:spacing w:line="360" w:lineRule="auto"/>
        <w:ind w:firstLine="551" w:firstLineChars="196"/>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（五）培训交流情况</w:t>
      </w:r>
    </w:p>
    <w:p>
      <w:pPr>
        <w:snapToGrid w:val="0"/>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1.建设明德讲坛和教师沙龙两大平台</w:t>
      </w:r>
    </w:p>
    <w:p>
      <w:pPr>
        <w:snapToGrid w:val="0"/>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明德讲坛面向全校教师以知名专家报告为主，教师沙龙主要以学院部门承办的形式，邀请校内外同行专家交流研讨。2020-2021年学校以“课程思政”为主题开展了10场明德讲坛和15期教师沙龙，累计有2400余人次参加。在2021年校青教赛中设课程思政专项奖。</w:t>
      </w:r>
    </w:p>
    <w:p>
      <w:pPr>
        <w:snapToGrid w:val="0"/>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2.针对校内“关键少数”重点培训</w:t>
      </w:r>
    </w:p>
    <w:p>
      <w:pPr>
        <w:snapToGrid w:val="0"/>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2020年6月-11月举办领航计划负责人及骨干教师培训班。各学院党组织书记、教学副院长，领航学院、团队和课程负责人共183人参加培训。2021年11月，组织200余名教师参加教育部高等教育司指导的“高校教师课程思政教学能力培训”。组织和指导优秀青年教师参加“课程思政讲课比赛”“课程思政教学案例展演”等活动，做好“传帮带”。</w:t>
      </w:r>
    </w:p>
    <w:p>
      <w:pPr>
        <w:snapToGrid w:val="0"/>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3.校外开展培训交流</w:t>
      </w:r>
    </w:p>
    <w:p>
      <w:pPr>
        <w:snapToGrid w:val="0"/>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在上海高校课程思政理论探索与教学实践研讨会、上海高校青年教师资助培训计划、“青椒问道”论坛、上海高校课程思政高级研修班、课程思政教学指南编制专题班、第六届大中华区在线教育研讨会等做专题报告，累计听众3000余人。中心成员还在上海教科院、复旦大学、上海大学、上海理工大学、上海海洋大学、喀什大学、洛阳理工学院等专题报告和交流发言。</w:t>
      </w:r>
    </w:p>
    <w:p>
      <w:pPr>
        <w:snapToGrid w:val="0"/>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4.每年召开高水平论坛</w:t>
      </w:r>
    </w:p>
    <w:p>
      <w:pPr>
        <w:snapToGrid w:val="0"/>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2018年举办长三角应用型本科高校课程思政改革论坛，承办2020年上海高校课程思政建设研讨会分论坛，举办2021年上海高校课程思政建设论坛，扩大了改革成果的辐射范围，接受专家同行和社会公众的检验。</w:t>
      </w:r>
    </w:p>
    <w:p>
      <w:pPr>
        <w:spacing w:line="360" w:lineRule="auto"/>
        <w:ind w:firstLine="551" w:firstLineChars="196"/>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（六）评价体系建设情况</w:t>
      </w:r>
    </w:p>
    <w:p>
      <w:pPr>
        <w:snapToGrid w:val="0"/>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1.建立课程思政全流程质量保障体系</w:t>
      </w:r>
    </w:p>
    <w:p>
      <w:pPr>
        <w:snapToGrid w:val="0"/>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依托教育部教育科学规划重点课题和上海市德育实践课题，运用综合集成的方法开展课程思政全流程质量保障体系研究。在梳理不同层次课程思政的内涵、特征和主要任务的基础上，围绕“说、做、评、改”4个主要环节（教学设计、教学实施、综合测评和持续改进）完善质量标准、考核指标和评价机制，确保课程思政、专业思政育人目标的达成。</w:t>
      </w:r>
    </w:p>
    <w:p>
      <w:pPr>
        <w:snapToGrid w:val="0"/>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2.完善课程思政质量评价制度</w:t>
      </w:r>
    </w:p>
    <w:p>
      <w:pPr>
        <w:snapToGrid w:val="0"/>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制定了涵盖思想政治理论课、综合素养课、专业育人课等课程的“评审—立项—建设—验收”管理规范。依据课程性质和建设类别明确相应的管理要求，完善了课程思政公开课（观摩课）制度、精彩教案建设制度。实施校领导、学院党政负责人、课程思政研究中心成员“三级听课制”，提高课程思政建设的实效。在学校原有督导听课、同行评价和学生评教中加大对课程思政实施效果的评价，实行学生满意度调研等，以质量标准为依据加强教学质量的闭环监控。</w:t>
      </w:r>
    </w:p>
    <w:p>
      <w:pPr>
        <w:snapToGrid w:val="0"/>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3.完善对学院、教师的评价激励</w:t>
      </w:r>
    </w:p>
    <w:p>
      <w:pPr>
        <w:snapToGrid w:val="0"/>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将各学院实施课程思政的效果纳入学校年度重大执行力考核和奖励绩效考核。制定了涵盖5大指标、12个观测点的考核体系，全面考察学院课程思政改革建设的过程与成效，并将考核结果与绩效经费的划拨直接挂钩。以教师参与和实施课程思政的情况作为职务职称评审、岗位聘用、评优奖励的重要内容；在人才引进签约中，将课程育人列为一项重要任务内容，使新进教师一开始就重视课程思政。</w:t>
      </w:r>
    </w:p>
    <w:p>
      <w:pPr>
        <w:spacing w:line="360" w:lineRule="auto"/>
        <w:ind w:firstLine="551" w:firstLineChars="196"/>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三、成果成效</w:t>
      </w:r>
    </w:p>
    <w:p>
      <w:pPr>
        <w:spacing w:line="360" w:lineRule="auto"/>
        <w:ind w:firstLine="551" w:firstLineChars="196"/>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（一）成果取得情况</w:t>
      </w:r>
    </w:p>
    <w:p>
      <w:pPr>
        <w:snapToGrid w:val="0"/>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中心围绕“培养具有理想信念、家国情怀、过硬本领、勇担责任的高素质应用创新型人才”这一目标，实施课程思政“五大工程”建设，在课程建设、制度建设、师资培训、评价考核等方面都取得显著成果，为应用型本科高校的课程思政建设贡献了“上应模式”和“上应智慧”。</w:t>
      </w:r>
    </w:p>
    <w:p>
      <w:pPr>
        <w:spacing w:line="360" w:lineRule="auto"/>
        <w:ind w:firstLine="548" w:firstLineChars="196"/>
        <w:rPr>
          <w:rFonts w:ascii="仿宋" w:hAnsi="仿宋" w:eastAsia="仿宋" w:cs="仿宋"/>
          <w:bCs/>
          <w:sz w:val="28"/>
          <w:szCs w:val="28"/>
        </w:rPr>
      </w:pPr>
      <w:r>
        <w:rPr>
          <w:rFonts w:hint="eastAsia" w:ascii="仿宋" w:hAnsi="仿宋" w:eastAsia="仿宋" w:cs="仿宋"/>
          <w:bCs/>
          <w:sz w:val="28"/>
          <w:szCs w:val="28"/>
        </w:rPr>
        <w:t>1.金课建设工程</w:t>
      </w:r>
    </w:p>
    <w:p>
      <w:pPr>
        <w:spacing w:line="360" w:lineRule="auto"/>
        <w:ind w:firstLine="548" w:firstLineChars="196"/>
        <w:rPr>
          <w:rFonts w:ascii="仿宋" w:hAnsi="仿宋" w:eastAsia="仿宋" w:cs="仿宋"/>
          <w:sz w:val="28"/>
          <w:szCs w:val="28"/>
        </w:rPr>
      </w:pPr>
      <w:r>
        <w:rPr>
          <w:rFonts w:hint="eastAsia" w:ascii="仿宋" w:hAnsi="仿宋" w:eastAsia="仿宋" w:cs="仿宋"/>
          <w:sz w:val="28"/>
          <w:szCs w:val="28"/>
        </w:rPr>
        <w:t>在马克思主义学院和专业学院之间发挥桥梁作用，打造由专业课程授课教师、马克思主义学院教师、辅导员等组成的课程育人团队，构建了由200门课程组成的“荣誉课程—示范课程—重点课程”三级领航课程体系，其中24门课程获上海市一流课程。1门课程获教育部课程思政示范课程（继续教育类），3门课程获党史与课程思政相融合示范课程。</w:t>
      </w:r>
    </w:p>
    <w:p>
      <w:pPr>
        <w:spacing w:line="360" w:lineRule="auto"/>
        <w:ind w:firstLine="548" w:firstLineChars="196"/>
        <w:rPr>
          <w:rFonts w:ascii="仿宋" w:hAnsi="仿宋" w:eastAsia="仿宋" w:cs="仿宋"/>
          <w:bCs/>
          <w:sz w:val="28"/>
          <w:szCs w:val="28"/>
        </w:rPr>
      </w:pPr>
      <w:r>
        <w:rPr>
          <w:rFonts w:hint="eastAsia" w:ascii="仿宋" w:hAnsi="仿宋" w:eastAsia="仿宋" w:cs="仿宋"/>
          <w:bCs/>
          <w:sz w:val="28"/>
          <w:szCs w:val="28"/>
        </w:rPr>
        <w:t>2.名师培育工程</w:t>
      </w:r>
    </w:p>
    <w:p>
      <w:pPr>
        <w:spacing w:line="360" w:lineRule="auto"/>
        <w:ind w:firstLine="548" w:firstLineChars="196"/>
        <w:rPr>
          <w:rFonts w:ascii="仿宋" w:hAnsi="仿宋" w:eastAsia="仿宋" w:cs="仿宋"/>
          <w:sz w:val="28"/>
          <w:szCs w:val="28"/>
        </w:rPr>
      </w:pPr>
      <w:r>
        <w:rPr>
          <w:rFonts w:hint="eastAsia" w:ascii="仿宋" w:hAnsi="仿宋" w:eastAsia="仿宋" w:cs="仿宋"/>
          <w:sz w:val="28"/>
          <w:szCs w:val="28"/>
        </w:rPr>
        <w:t>制定了《课程思政领航计划负责人及骨干教师培训方案》，既加强“重点人（学院院长、书记，领航团队和课程负责人）”“重点事（研制教学指南、体制机制建设）”的专题培训，也做实全校全体教师的常规培训。邀请校外知名专家，组织明德讲坛、教师沙龙、教学设计竞赛等一系列活动，围绕课程思政举办明德讲坛、教师沙龙年均20余次，教师育德能力得到进一步增强。</w:t>
      </w:r>
    </w:p>
    <w:p>
      <w:pPr>
        <w:spacing w:line="360" w:lineRule="auto"/>
        <w:ind w:firstLine="548" w:firstLineChars="196"/>
        <w:rPr>
          <w:rFonts w:ascii="仿宋" w:hAnsi="仿宋" w:eastAsia="仿宋" w:cs="仿宋"/>
          <w:bCs/>
          <w:sz w:val="28"/>
          <w:szCs w:val="28"/>
        </w:rPr>
      </w:pPr>
      <w:r>
        <w:rPr>
          <w:rFonts w:hint="eastAsia" w:ascii="仿宋" w:hAnsi="仿宋" w:eastAsia="仿宋" w:cs="仿宋"/>
          <w:bCs/>
          <w:sz w:val="28"/>
          <w:szCs w:val="28"/>
        </w:rPr>
        <w:t>3.质量保障工程</w:t>
      </w:r>
    </w:p>
    <w:p>
      <w:pPr>
        <w:spacing w:line="360" w:lineRule="auto"/>
        <w:ind w:firstLine="548" w:firstLineChars="196"/>
        <w:rPr>
          <w:rFonts w:ascii="仿宋" w:hAnsi="仿宋" w:eastAsia="仿宋" w:cs="仿宋"/>
          <w:sz w:val="28"/>
          <w:szCs w:val="28"/>
        </w:rPr>
      </w:pPr>
      <w:r>
        <w:rPr>
          <w:rFonts w:hint="eastAsia" w:ascii="仿宋" w:hAnsi="仿宋" w:eastAsia="仿宋" w:cs="仿宋"/>
          <w:sz w:val="28"/>
          <w:szCs w:val="28"/>
        </w:rPr>
        <w:t>全面完成修订2021级本科人才培养方案和教学大纲，修订完成了11项本科教学质量标准，涵盖了专业建设、课程教学、实践教学和毕业设计等人才培养的主要环节，为课程思政建设提供建设标准及要求，实现了课程思政教师全覆盖、课程全覆盖。</w:t>
      </w:r>
    </w:p>
    <w:p>
      <w:pPr>
        <w:spacing w:line="360" w:lineRule="auto"/>
        <w:ind w:firstLine="548" w:firstLineChars="196"/>
        <w:rPr>
          <w:rFonts w:ascii="仿宋" w:hAnsi="仿宋" w:eastAsia="仿宋" w:cs="仿宋"/>
          <w:bCs/>
          <w:sz w:val="28"/>
          <w:szCs w:val="28"/>
        </w:rPr>
      </w:pPr>
      <w:r>
        <w:rPr>
          <w:rFonts w:hint="eastAsia" w:ascii="仿宋" w:hAnsi="仿宋" w:eastAsia="仿宋" w:cs="仿宋"/>
          <w:bCs/>
          <w:sz w:val="28"/>
          <w:szCs w:val="28"/>
        </w:rPr>
        <w:t>4.理论研究工程</w:t>
      </w:r>
    </w:p>
    <w:p>
      <w:pPr>
        <w:spacing w:line="360" w:lineRule="auto"/>
        <w:ind w:firstLine="548" w:firstLineChars="196"/>
        <w:rPr>
          <w:rFonts w:ascii="仿宋" w:hAnsi="仿宋" w:eastAsia="仿宋" w:cs="仿宋"/>
          <w:color w:val="FF0000"/>
          <w:sz w:val="28"/>
          <w:szCs w:val="28"/>
        </w:rPr>
      </w:pPr>
      <w:r>
        <w:rPr>
          <w:rFonts w:hint="eastAsia" w:ascii="仿宋" w:hAnsi="仿宋" w:eastAsia="仿宋" w:cs="仿宋"/>
          <w:sz w:val="28"/>
          <w:szCs w:val="28"/>
        </w:rPr>
        <w:t>2020年启动第一批次课程思政专项研究课题建设工作，经校内、外专家对申报的73项课题进行评审，33项课题获批立项，其中重点课题8项，委托课题5项，一般课题20项，公开发表论文15篇。2021年立项重点课题6项，一般课题13项，党史融入课程思政专项（理论研究）4项，鼓励教师积极凝练成果，发表高水平论文。</w:t>
      </w:r>
    </w:p>
    <w:p>
      <w:pPr>
        <w:spacing w:line="360" w:lineRule="auto"/>
        <w:ind w:firstLine="548" w:firstLineChars="196"/>
        <w:rPr>
          <w:rFonts w:ascii="仿宋" w:hAnsi="仿宋" w:eastAsia="仿宋" w:cs="仿宋"/>
          <w:bCs/>
          <w:sz w:val="28"/>
          <w:szCs w:val="28"/>
        </w:rPr>
      </w:pPr>
      <w:r>
        <w:rPr>
          <w:rFonts w:hint="eastAsia" w:ascii="仿宋" w:hAnsi="仿宋" w:eastAsia="仿宋" w:cs="仿宋"/>
          <w:bCs/>
          <w:sz w:val="28"/>
          <w:szCs w:val="28"/>
        </w:rPr>
        <w:t>5.考核激励工程</w:t>
      </w:r>
    </w:p>
    <w:p>
      <w:pPr>
        <w:spacing w:line="360" w:lineRule="auto"/>
        <w:rPr>
          <w:rFonts w:ascii="仿宋" w:hAnsi="仿宋" w:eastAsia="仿宋"/>
          <w:color w:val="000000" w:themeColor="text1"/>
          <w:sz w:val="28"/>
          <w:szCs w:val="28"/>
          <w14:textFill>
            <w14:solidFill>
              <w14:schemeClr w14:val="tx1"/>
            </w14:solidFill>
          </w14:textFill>
        </w:rPr>
      </w:pPr>
      <w:r>
        <w:rPr>
          <w:rFonts w:hint="eastAsia" w:ascii="仿宋" w:hAnsi="仿宋" w:eastAsia="仿宋" w:cs="仿宋"/>
          <w:sz w:val="28"/>
          <w:szCs w:val="28"/>
        </w:rPr>
        <w:t>重点从课程思政的过程与效果两个维度加强学院（部）考核激励。制订了包括基础工作（含机制建设、教师队伍建设、教学管理、效果及影响力四个方面）和特色亮点共同构成的评价指标体系。对各二级学院实施课程思政的情况进行了过程化管理和年终考核。</w:t>
      </w:r>
    </w:p>
    <w:p>
      <w:pPr>
        <w:spacing w:line="360" w:lineRule="auto"/>
        <w:ind w:firstLine="551" w:firstLineChars="196"/>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（二）成果使用情况</w:t>
      </w:r>
    </w:p>
    <w:p>
      <w:pPr>
        <w:snapToGrid w:val="0"/>
        <w:spacing w:line="360" w:lineRule="auto"/>
        <w:ind w:left="480"/>
        <w:rPr>
          <w:rFonts w:ascii="仿宋" w:hAnsi="仿宋" w:eastAsia="仿宋" w:cs="仿宋"/>
          <w:bCs/>
          <w:kern w:val="0"/>
          <w:sz w:val="28"/>
          <w:szCs w:val="28"/>
        </w:rPr>
      </w:pPr>
      <w:r>
        <w:rPr>
          <w:rFonts w:hint="eastAsia" w:ascii="仿宋" w:hAnsi="仿宋" w:eastAsia="仿宋" w:cs="仿宋"/>
          <w:bCs/>
          <w:kern w:val="0"/>
          <w:sz w:val="28"/>
          <w:szCs w:val="28"/>
        </w:rPr>
        <w:t>1.推进党史教育融入课程思政</w:t>
      </w:r>
    </w:p>
    <w:p>
      <w:pPr>
        <w:snapToGrid w:val="0"/>
        <w:spacing w:line="360" w:lineRule="auto"/>
        <w:ind w:firstLine="560" w:firstLineChars="200"/>
        <w:rPr>
          <w:rFonts w:ascii="仿宋" w:hAnsi="仿宋" w:eastAsia="仿宋" w:cs="仿宋"/>
          <w:kern w:val="0"/>
          <w:sz w:val="28"/>
          <w:szCs w:val="28"/>
        </w:rPr>
      </w:pPr>
      <w:r>
        <w:rPr>
          <w:rFonts w:hint="eastAsia" w:ascii="仿宋" w:hAnsi="仿宋" w:eastAsia="仿宋" w:cs="仿宋"/>
          <w:kern w:val="0"/>
          <w:sz w:val="28"/>
          <w:szCs w:val="28"/>
        </w:rPr>
        <w:t>结合建党100周年开展专项活动，在所有课程中融入党史教育。凝练出《党史·材料学》教材、《热点科技成就与课程思政》等重点项目。《酶工程》《微电子工艺学》《园林工程》获批上海市党史学习教育与课程相融合示范课程。</w:t>
      </w:r>
    </w:p>
    <w:p>
      <w:pPr>
        <w:snapToGrid w:val="0"/>
        <w:spacing w:line="360" w:lineRule="auto"/>
        <w:ind w:firstLine="560" w:firstLineChars="200"/>
        <w:rPr>
          <w:rFonts w:ascii="仿宋" w:hAnsi="仿宋" w:eastAsia="仿宋" w:cs="仿宋"/>
          <w:kern w:val="0"/>
          <w:sz w:val="28"/>
          <w:szCs w:val="28"/>
        </w:rPr>
      </w:pPr>
      <w:r>
        <w:rPr>
          <w:rFonts w:hint="eastAsia" w:ascii="仿宋" w:hAnsi="仿宋" w:eastAsia="仿宋" w:cs="仿宋"/>
          <w:bCs/>
          <w:kern w:val="0"/>
          <w:sz w:val="28"/>
          <w:szCs w:val="28"/>
        </w:rPr>
        <w:t>2.组织出版思政教学指南和优秀案例</w:t>
      </w:r>
    </w:p>
    <w:p>
      <w:pPr>
        <w:snapToGrid w:val="0"/>
        <w:spacing w:line="360" w:lineRule="auto"/>
        <w:ind w:firstLine="560" w:firstLineChars="200"/>
        <w:rPr>
          <w:rFonts w:ascii="仿宋" w:hAnsi="仿宋" w:eastAsia="仿宋" w:cs="仿宋"/>
          <w:kern w:val="0"/>
          <w:sz w:val="28"/>
          <w:szCs w:val="28"/>
        </w:rPr>
      </w:pPr>
      <w:r>
        <w:rPr>
          <w:rFonts w:hint="eastAsia" w:ascii="仿宋" w:hAnsi="仿宋" w:eastAsia="仿宋" w:cs="仿宋"/>
          <w:kern w:val="0"/>
          <w:sz w:val="28"/>
          <w:szCs w:val="28"/>
        </w:rPr>
        <w:t>食品科学与工程类、制药类专业课程思政教学指南获上海市级层面立项并已完成撰写。正式出版《厚德 精技——应用型本科课程思政教学设计50例》。</w:t>
      </w:r>
    </w:p>
    <w:p>
      <w:pPr>
        <w:snapToGrid w:val="0"/>
        <w:spacing w:line="360" w:lineRule="auto"/>
        <w:ind w:firstLine="480"/>
        <w:rPr>
          <w:rFonts w:ascii="仿宋" w:hAnsi="仿宋" w:eastAsia="仿宋" w:cs="仿宋"/>
          <w:kern w:val="0"/>
          <w:sz w:val="28"/>
          <w:szCs w:val="28"/>
        </w:rPr>
      </w:pPr>
      <w:r>
        <w:rPr>
          <w:rFonts w:hint="eastAsia" w:ascii="仿宋" w:hAnsi="仿宋" w:eastAsia="仿宋" w:cs="仿宋"/>
          <w:bCs/>
          <w:kern w:val="0"/>
          <w:sz w:val="28"/>
          <w:szCs w:val="28"/>
        </w:rPr>
        <w:t>3.赋能教师打造“一流课程</w:t>
      </w:r>
      <w:r>
        <w:rPr>
          <w:rFonts w:hint="eastAsia" w:ascii="仿宋" w:hAnsi="仿宋" w:eastAsia="仿宋" w:cs="仿宋"/>
          <w:kern w:val="0"/>
          <w:sz w:val="28"/>
          <w:szCs w:val="28"/>
        </w:rPr>
        <w:t>”</w:t>
      </w:r>
    </w:p>
    <w:p>
      <w:pPr>
        <w:snapToGrid w:val="0"/>
        <w:spacing w:line="360" w:lineRule="auto"/>
        <w:ind w:firstLine="560" w:firstLineChars="200"/>
        <w:rPr>
          <w:rFonts w:ascii="仿宋" w:hAnsi="仿宋" w:eastAsia="仿宋" w:cs="仿宋"/>
          <w:kern w:val="0"/>
          <w:sz w:val="28"/>
          <w:szCs w:val="28"/>
        </w:rPr>
      </w:pPr>
      <w:r>
        <w:rPr>
          <w:rFonts w:hint="eastAsia" w:ascii="仿宋" w:hAnsi="仿宋" w:eastAsia="仿宋" w:cs="仿宋"/>
          <w:kern w:val="0"/>
          <w:sz w:val="28"/>
          <w:szCs w:val="28"/>
        </w:rPr>
        <w:t>6个学院、12个团队、120门课程入选上海市课程思政领航学院、领航团队和领航课程，打造了《中国智造》《美丽中国》和《一带一路  车文同轨》等一批被媒体广泛报道的“高能课程”。课程思政赋能“金课”建设取得突出效果，近两年获批24门上海市一流课程，获批数量位居应用型高校第一。</w:t>
      </w:r>
    </w:p>
    <w:p>
      <w:pPr>
        <w:snapToGrid w:val="0"/>
        <w:spacing w:line="360" w:lineRule="auto"/>
        <w:ind w:firstLine="560" w:firstLineChars="200"/>
        <w:rPr>
          <w:rFonts w:ascii="仿宋" w:hAnsi="仿宋" w:eastAsia="仿宋" w:cs="仿宋"/>
          <w:bCs/>
          <w:kern w:val="0"/>
          <w:sz w:val="28"/>
          <w:szCs w:val="28"/>
        </w:rPr>
      </w:pPr>
      <w:r>
        <w:rPr>
          <w:rFonts w:hint="eastAsia" w:ascii="仿宋" w:hAnsi="仿宋" w:eastAsia="仿宋" w:cs="仿宋"/>
          <w:bCs/>
          <w:kern w:val="0"/>
          <w:sz w:val="28"/>
          <w:szCs w:val="28"/>
        </w:rPr>
        <w:t>4.学生成为最大受益者</w:t>
      </w:r>
    </w:p>
    <w:p>
      <w:pPr>
        <w:snapToGrid w:val="0"/>
        <w:spacing w:line="360" w:lineRule="auto"/>
        <w:ind w:firstLine="560" w:firstLineChars="200"/>
        <w:rPr>
          <w:rFonts w:ascii="仿宋" w:hAnsi="仿宋" w:eastAsia="仿宋" w:cs="仿宋"/>
          <w:color w:val="FF0000"/>
          <w:kern w:val="0"/>
          <w:sz w:val="28"/>
          <w:szCs w:val="28"/>
        </w:rPr>
      </w:pPr>
      <w:r>
        <w:rPr>
          <w:rFonts w:hint="eastAsia" w:ascii="仿宋" w:hAnsi="仿宋" w:eastAsia="仿宋" w:cs="仿宋"/>
          <w:kern w:val="0"/>
          <w:sz w:val="28"/>
          <w:szCs w:val="28"/>
        </w:rPr>
        <w:t>思政课教师、辅导员与专业教师合力育人，吴斐获第13届全国“高校辅导员年度人物”。学生成为思政教育的主体，每年举办“时代·应用”专业文化宣讲，覆盖全校50多个专业。学生彰显出强烈的家国情怀和责任担当，每年4000 余名学生奔赴各地开展社会实践活动，学校 2 次获得全国暑期社会实践优秀单位。涌现出一批优秀的学生典型，如：2020届校长奖获得者郭雨同学，在新冠肺炎疫情防控期间，主动为湖北儿童上网课；土木专业张静雪儿在党史学习教育中受益显著，与复旦、同济、华东师大的三位学生代表上海市，参加CCTV“全国大学生党史知识竞答大会”。</w:t>
      </w:r>
    </w:p>
    <w:p>
      <w:pPr>
        <w:snapToGrid w:val="0"/>
        <w:spacing w:line="360" w:lineRule="auto"/>
        <w:ind w:firstLine="560" w:firstLineChars="200"/>
        <w:rPr>
          <w:rFonts w:ascii="仿宋" w:hAnsi="仿宋" w:eastAsia="仿宋" w:cs="仿宋"/>
          <w:bCs/>
          <w:kern w:val="0"/>
          <w:sz w:val="28"/>
          <w:szCs w:val="28"/>
        </w:rPr>
      </w:pPr>
      <w:r>
        <w:rPr>
          <w:rFonts w:hint="eastAsia" w:ascii="仿宋" w:hAnsi="仿宋" w:eastAsia="仿宋" w:cs="仿宋"/>
          <w:bCs/>
          <w:kern w:val="0"/>
          <w:sz w:val="28"/>
          <w:szCs w:val="28"/>
        </w:rPr>
        <w:t>5.建设成果辐射全国</w:t>
      </w:r>
    </w:p>
    <w:p>
      <w:pPr>
        <w:snapToGrid w:val="0"/>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sz w:val="28"/>
          <w:szCs w:val="28"/>
        </w:rPr>
        <w:t>课程思政建设成果不仅在上海市和长三角高校中产生广泛影响，还经由“援疆”和“沪豫教育合作”等渠道辐射中西部，被对口交流支援的洛阳理工学院、喀什大学等“移植复制”。</w:t>
      </w:r>
      <w:r>
        <w:rPr>
          <w:rFonts w:hint="eastAsia" w:ascii="仿宋" w:hAnsi="仿宋" w:eastAsia="仿宋" w:cs="仿宋"/>
          <w:color w:val="000000"/>
          <w:kern w:val="0"/>
          <w:sz w:val="28"/>
          <w:szCs w:val="28"/>
        </w:rPr>
        <w:t>学校教师多次在市内外课程思政培训中作专题报告。《光明日报》《中国</w:t>
      </w:r>
      <w:r>
        <w:rPr>
          <w:rFonts w:hint="eastAsia" w:ascii="仿宋" w:hAnsi="仿宋" w:eastAsia="仿宋" w:cs="仿宋"/>
          <w:sz w:val="28"/>
          <w:szCs w:val="28"/>
        </w:rPr>
        <w:t>青年报》《解放日报》，东方卫视频道、上海教育电视台，人民网等主流媒体对我校课程思政</w:t>
      </w:r>
      <w:r>
        <w:rPr>
          <w:rFonts w:hint="eastAsia" w:ascii="仿宋" w:hAnsi="仿宋" w:eastAsia="仿宋" w:cs="仿宋"/>
          <w:color w:val="000000"/>
          <w:kern w:val="0"/>
          <w:sz w:val="28"/>
          <w:szCs w:val="28"/>
        </w:rPr>
        <w:t>工作进行了50多次多维度、大范围的专题报道。</w:t>
      </w:r>
    </w:p>
    <w:p>
      <w:pPr>
        <w:spacing w:line="360" w:lineRule="auto"/>
        <w:ind w:firstLine="551" w:firstLineChars="196"/>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四、支持保障</w:t>
      </w:r>
    </w:p>
    <w:p>
      <w:pPr>
        <w:spacing w:line="360" w:lineRule="auto"/>
        <w:ind w:firstLine="551" w:firstLineChars="196"/>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（一）政策方面</w:t>
      </w:r>
    </w:p>
    <w:p>
      <w:pPr>
        <w:spacing w:line="360" w:lineRule="auto"/>
        <w:ind w:firstLine="560" w:firstLineChars="200"/>
        <w:rPr>
          <w:rFonts w:ascii="仿宋" w:hAnsi="仿宋" w:eastAsia="仿宋" w:cs="仿宋"/>
          <w:bCs/>
          <w:color w:val="000000"/>
          <w:sz w:val="28"/>
          <w:szCs w:val="28"/>
        </w:rPr>
      </w:pPr>
      <w:r>
        <w:rPr>
          <w:rFonts w:hint="eastAsia" w:ascii="仿宋" w:hAnsi="仿宋" w:eastAsia="仿宋" w:cs="仿宋"/>
          <w:bCs/>
          <w:color w:val="000000"/>
          <w:sz w:val="28"/>
          <w:szCs w:val="28"/>
        </w:rPr>
        <w:t>1.将课程思政教学研究示范中心作为全校课程思政建设的关键一环</w:t>
      </w:r>
    </w:p>
    <w:p>
      <w:pPr>
        <w:spacing w:line="360" w:lineRule="auto"/>
        <w:ind w:firstLine="480"/>
        <w:rPr>
          <w:rFonts w:ascii="仿宋" w:hAnsi="仿宋" w:eastAsia="仿宋" w:cs="仿宋"/>
          <w:color w:val="000000"/>
          <w:sz w:val="28"/>
          <w:szCs w:val="28"/>
        </w:rPr>
      </w:pPr>
      <w:r>
        <w:rPr>
          <w:rFonts w:hint="eastAsia" w:ascii="仿宋" w:hAnsi="仿宋" w:eastAsia="仿宋" w:cs="仿宋"/>
          <w:color w:val="000000"/>
          <w:sz w:val="28"/>
          <w:szCs w:val="28"/>
        </w:rPr>
        <w:t>将课程思政教学研究示范中心作为研究和探索课程思政建设的重要组织机构，与学校的思想政治工作委员会、课程思政改革领导小组、课程思政指导委员会等机构共同构成了课程思政组织管理体系。</w:t>
      </w:r>
    </w:p>
    <w:p>
      <w:pPr>
        <w:spacing w:line="360" w:lineRule="auto"/>
        <w:ind w:firstLine="560" w:firstLineChars="200"/>
        <w:rPr>
          <w:rFonts w:ascii="仿宋" w:hAnsi="仿宋" w:eastAsia="仿宋" w:cs="仿宋"/>
          <w:color w:val="000000"/>
          <w:sz w:val="28"/>
          <w:szCs w:val="28"/>
        </w:rPr>
      </w:pPr>
      <w:r>
        <w:rPr>
          <w:rFonts w:hint="eastAsia" w:ascii="仿宋" w:hAnsi="仿宋" w:eastAsia="仿宋" w:cs="仿宋"/>
          <w:bCs/>
          <w:color w:val="000000"/>
          <w:sz w:val="28"/>
          <w:szCs w:val="28"/>
        </w:rPr>
        <w:t>2.纳入地方高水平大学建设予以专项支持</w:t>
      </w:r>
    </w:p>
    <w:p>
      <w:pPr>
        <w:spacing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将课程思政教学研究示范中心纳入上海市地方高水平大学建设项目之中，根据学校的课程思政“十四五”规划组织开展建设，每年专门编制预算。同时作为落实党委“三大主体责任”的重要指标，在经费、人员编制和办公条件等方面都予以保障。</w:t>
      </w:r>
    </w:p>
    <w:p>
      <w:pPr>
        <w:spacing w:line="360" w:lineRule="auto"/>
        <w:ind w:firstLine="560" w:firstLineChars="200"/>
        <w:rPr>
          <w:rFonts w:ascii="仿宋" w:hAnsi="仿宋" w:eastAsia="仿宋" w:cs="仿宋"/>
          <w:color w:val="000000"/>
          <w:sz w:val="28"/>
          <w:szCs w:val="28"/>
        </w:rPr>
      </w:pPr>
      <w:r>
        <w:rPr>
          <w:rFonts w:hint="eastAsia" w:ascii="仿宋" w:hAnsi="仿宋" w:eastAsia="仿宋" w:cs="仿宋"/>
          <w:bCs/>
          <w:color w:val="000000"/>
          <w:sz w:val="28"/>
          <w:szCs w:val="28"/>
        </w:rPr>
        <w:t>3.综合发挥各项政策的协同叠加作用</w:t>
      </w:r>
    </w:p>
    <w:p>
      <w:pPr>
        <w:spacing w:line="360" w:lineRule="auto"/>
        <w:ind w:firstLine="480"/>
        <w:rPr>
          <w:rFonts w:ascii="仿宋" w:hAnsi="仿宋" w:eastAsia="仿宋" w:cs="仿宋"/>
          <w:color w:val="000000"/>
          <w:sz w:val="28"/>
          <w:szCs w:val="28"/>
        </w:rPr>
      </w:pPr>
      <w:r>
        <w:rPr>
          <w:rFonts w:hint="eastAsia" w:ascii="仿宋" w:hAnsi="仿宋" w:eastAsia="仿宋" w:cs="仿宋"/>
          <w:color w:val="000000"/>
          <w:sz w:val="28"/>
          <w:szCs w:val="28"/>
        </w:rPr>
        <w:t>加强宣传部、教师工作部、学工部、教务处、研究生院等职能部门的协同合作，</w:t>
      </w:r>
      <w:r>
        <w:rPr>
          <w:rFonts w:hint="eastAsia" w:ascii="仿宋" w:hAnsi="仿宋" w:eastAsia="仿宋"/>
          <w:color w:val="000000"/>
          <w:sz w:val="28"/>
          <w:szCs w:val="28"/>
        </w:rPr>
        <w:t>提升课程思政教学改革的系统性。</w:t>
      </w:r>
      <w:r>
        <w:rPr>
          <w:rFonts w:hint="eastAsia" w:ascii="仿宋" w:hAnsi="仿宋" w:eastAsia="仿宋" w:cs="仿宋"/>
          <w:color w:val="000000"/>
          <w:sz w:val="28"/>
          <w:szCs w:val="28"/>
        </w:rPr>
        <w:t>依据课程思政教学研究示范中心的建设方案共同在思想政治教育、课程教材建设、教师发展工程、学院考核和学生管理等方面完善相关政策，形成改革合力。</w:t>
      </w:r>
    </w:p>
    <w:p>
      <w:pPr>
        <w:spacing w:line="360" w:lineRule="auto"/>
        <w:ind w:firstLine="480"/>
        <w:rPr>
          <w:rFonts w:ascii="仿宋" w:hAnsi="仿宋" w:eastAsia="仿宋" w:cs="仿宋"/>
          <w:bCs/>
          <w:color w:val="000000"/>
          <w:sz w:val="28"/>
          <w:szCs w:val="28"/>
        </w:rPr>
      </w:pPr>
      <w:r>
        <w:rPr>
          <w:rFonts w:hint="eastAsia" w:ascii="仿宋" w:hAnsi="仿宋" w:eastAsia="仿宋" w:cs="仿宋"/>
          <w:bCs/>
          <w:color w:val="000000"/>
          <w:sz w:val="28"/>
          <w:szCs w:val="28"/>
        </w:rPr>
        <w:t>4.“五大工程”协同推进，取得良好的实施效果</w:t>
      </w:r>
    </w:p>
    <w:p>
      <w:pPr>
        <w:spacing w:line="360" w:lineRule="auto"/>
        <w:rPr>
          <w:rFonts w:ascii="仿宋" w:hAnsi="仿宋" w:eastAsia="仿宋" w:cs="仿宋"/>
          <w:color w:val="000000"/>
          <w:sz w:val="28"/>
          <w:szCs w:val="28"/>
        </w:rPr>
      </w:pPr>
      <w:r>
        <w:rPr>
          <w:rFonts w:hint="eastAsia" w:ascii="仿宋" w:hAnsi="仿宋" w:eastAsia="仿宋"/>
          <w:color w:val="000000"/>
          <w:sz w:val="28"/>
          <w:szCs w:val="28"/>
        </w:rPr>
        <w:t>自2019</w:t>
      </w:r>
      <w:r>
        <w:rPr>
          <w:rFonts w:hint="eastAsia" w:ascii="仿宋" w:hAnsi="仿宋" w:eastAsia="仿宋" w:cs="仿宋"/>
          <w:color w:val="000000"/>
          <w:sz w:val="28"/>
          <w:szCs w:val="28"/>
        </w:rPr>
        <w:t>年学校获批上海高校课程思政整体改革领航高校后，在课程思政研究中心的总体推动下实施课程思政“五大工程”，涵盖理论研究、课程建设、教师发展、质量保障和考核激励等各个方面，均得到了有力的资源和政策支持，整体提升了全校课程思政的质量和水平。</w:t>
      </w:r>
    </w:p>
    <w:p>
      <w:pPr>
        <w:spacing w:line="360" w:lineRule="auto"/>
        <w:ind w:firstLine="551" w:firstLineChars="196"/>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（二）经费方面</w:t>
      </w:r>
    </w:p>
    <w:p>
      <w:pPr>
        <w:spacing w:line="360" w:lineRule="auto"/>
        <w:ind w:firstLine="560" w:firstLineChars="200"/>
        <w:rPr>
          <w:rFonts w:ascii="仿宋" w:hAnsi="仿宋" w:eastAsia="仿宋"/>
          <w:sz w:val="28"/>
          <w:szCs w:val="28"/>
        </w:rPr>
      </w:pPr>
      <w:r>
        <w:rPr>
          <w:rFonts w:hint="eastAsia" w:ascii="仿宋" w:hAnsi="仿宋" w:eastAsia="仿宋"/>
          <w:sz w:val="28"/>
          <w:szCs w:val="28"/>
        </w:rPr>
        <w:t>中心年均建设经费100-150万元，主要源自高水平地方应用型高校建设项目和上海市思想政治教育专项经费的支持。经费主要用于全校层面的体制机制建设、理论课题研究和课程思政领航学院、领航团队、领航课程建设等。</w:t>
      </w:r>
    </w:p>
    <w:p>
      <w:pPr>
        <w:spacing w:line="360" w:lineRule="auto"/>
        <w:ind w:firstLine="560" w:firstLineChars="200"/>
        <w:rPr>
          <w:rFonts w:ascii="仿宋" w:hAnsi="仿宋" w:eastAsia="仿宋"/>
          <w:sz w:val="28"/>
          <w:szCs w:val="28"/>
        </w:rPr>
      </w:pPr>
      <w:r>
        <w:rPr>
          <w:rFonts w:hint="eastAsia" w:ascii="仿宋" w:hAnsi="仿宋" w:eastAsia="仿宋"/>
          <w:sz w:val="28"/>
          <w:szCs w:val="28"/>
        </w:rPr>
        <w:t>例如：2021年共获经费115万元，具体项目包括：</w:t>
      </w:r>
    </w:p>
    <w:p>
      <w:pPr>
        <w:spacing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（1）理论研究课题：15万元；</w:t>
      </w:r>
    </w:p>
    <w:p>
      <w:pPr>
        <w:spacing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（2）领航学院建设：6万；</w:t>
      </w:r>
    </w:p>
    <w:p>
      <w:pPr>
        <w:spacing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（3）领航团队建设：13万；</w:t>
      </w:r>
    </w:p>
    <w:p>
      <w:pPr>
        <w:spacing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（4）党史融入课程思政专项：13万；</w:t>
      </w:r>
    </w:p>
    <w:p>
      <w:pPr>
        <w:spacing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（5）课程思政教育改革论坛：7万；</w:t>
      </w:r>
    </w:p>
    <w:p>
      <w:pPr>
        <w:spacing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（6）领航课程建设：61万。</w:t>
      </w:r>
    </w:p>
    <w:p>
      <w:pPr>
        <w:spacing w:line="360" w:lineRule="auto"/>
        <w:ind w:firstLine="551" w:firstLineChars="196"/>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（三）条件方面</w:t>
      </w:r>
    </w:p>
    <w:p>
      <w:pPr>
        <w:spacing w:line="360" w:lineRule="auto"/>
        <w:rPr>
          <w:rFonts w:ascii="仿宋" w:hAnsi="仿宋" w:eastAsia="仿宋" w:cs="仿宋"/>
          <w:sz w:val="28"/>
          <w:szCs w:val="28"/>
        </w:rPr>
      </w:pPr>
      <w:r>
        <w:rPr>
          <w:rFonts w:hint="eastAsia" w:ascii="仿宋" w:hAnsi="仿宋" w:eastAsia="仿宋" w:cs="仿宋"/>
          <w:sz w:val="28"/>
          <w:szCs w:val="28"/>
        </w:rPr>
        <w:t>学校课程思政研究中心设有专门的办公室，安排专职工作人员负责日常工作推进。办公室配有文件柜、办公桌、电脑、打印机等办公设施，办公环境和条件良好，满足工作需求。</w:t>
      </w:r>
    </w:p>
    <w:p>
      <w:pPr>
        <w:spacing w:line="360" w:lineRule="auto"/>
        <w:ind w:firstLine="551" w:firstLineChars="196"/>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五、建设计划</w:t>
      </w:r>
    </w:p>
    <w:p>
      <w:pPr>
        <w:spacing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1.今后5年的建设规划</w:t>
      </w:r>
    </w:p>
    <w:p>
      <w:pPr>
        <w:spacing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（1）重点完善3大体系</w:t>
      </w:r>
    </w:p>
    <w:p>
      <w:pPr>
        <w:spacing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一是完善内容体系。以推进习近平新时代中国特色社会主义思想“三进”为重点，结合不同学科门类和课程类型挖掘思政教育资源，依托教学案例库建设引入职业规范和企业真实案例。</w:t>
      </w:r>
    </w:p>
    <w:p>
      <w:pPr>
        <w:spacing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二是完善方法体系。以加强课堂教学设计为重点，提高教师育人能力。结合PBL（基于问题解决的学习）和CBL（基于案例的学习）教学改革，将思想政治教育资源有机融入课堂教学全过程。</w:t>
      </w:r>
    </w:p>
    <w:p>
      <w:pPr>
        <w:spacing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三是完善工作体系。以逐层落实责任主体为重点，完善课程思政建设协同机制和评价激励机制。建好课程思政示范项目和线上资源库，科学评价和有效使用课程思政建设成果。</w:t>
      </w:r>
    </w:p>
    <w:p>
      <w:pPr>
        <w:spacing w:line="360" w:lineRule="auto"/>
        <w:ind w:firstLine="560" w:firstLineChars="200"/>
        <w:rPr>
          <w:rFonts w:ascii="仿宋" w:hAnsi="仿宋" w:eastAsia="仿宋" w:cs="仿宋"/>
          <w:bCs/>
          <w:color w:val="000000"/>
          <w:sz w:val="28"/>
          <w:szCs w:val="28"/>
        </w:rPr>
      </w:pPr>
      <w:r>
        <w:rPr>
          <w:rFonts w:hint="eastAsia" w:ascii="仿宋" w:hAnsi="仿宋" w:eastAsia="仿宋" w:cs="仿宋"/>
          <w:bCs/>
          <w:color w:val="000000"/>
          <w:sz w:val="28"/>
          <w:szCs w:val="28"/>
        </w:rPr>
        <w:t>（2）努力实现3个强化</w:t>
      </w:r>
    </w:p>
    <w:p>
      <w:pPr>
        <w:spacing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在教师队伍“主力军”方面，强化企业教师作为重要主体，发挥企业教师在资源建设、过程管理等方面的重要作用。</w:t>
      </w:r>
    </w:p>
    <w:p>
      <w:pPr>
        <w:spacing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在课程建设“主战场”方面，强化培养关键能力作为重要任务。找到最契合的思教融合点，培养未来工程师所应具备的价值观念、能力体系和知识结构。</w:t>
      </w:r>
    </w:p>
    <w:p>
      <w:pPr>
        <w:spacing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在课堂教学“主渠道”方面，强化实践教学的育人功能。培养学生勇于探索的创新精神、善于解决问题的实践能力。</w:t>
      </w:r>
    </w:p>
    <w:p>
      <w:pPr>
        <w:spacing w:line="360" w:lineRule="auto"/>
        <w:ind w:firstLine="560" w:firstLineChars="200"/>
        <w:rPr>
          <w:rFonts w:ascii="仿宋" w:hAnsi="仿宋" w:eastAsia="仿宋" w:cs="仿宋"/>
          <w:bCs/>
          <w:color w:val="000000"/>
          <w:kern w:val="0"/>
          <w:sz w:val="28"/>
          <w:szCs w:val="28"/>
        </w:rPr>
      </w:pPr>
      <w:r>
        <w:rPr>
          <w:rFonts w:hint="eastAsia" w:ascii="仿宋" w:hAnsi="仿宋" w:eastAsia="仿宋" w:cs="仿宋"/>
          <w:bCs/>
          <w:color w:val="000000"/>
          <w:kern w:val="0"/>
          <w:sz w:val="28"/>
          <w:szCs w:val="28"/>
        </w:rPr>
        <w:t>2.需进一步解决的问题</w:t>
      </w:r>
    </w:p>
    <w:p>
      <w:pPr>
        <w:spacing w:line="360" w:lineRule="auto"/>
        <w:ind w:firstLine="560" w:firstLineChars="200"/>
        <w:rPr>
          <w:rFonts w:ascii="仿宋" w:hAnsi="仿宋" w:eastAsia="仿宋" w:cs="仿宋"/>
          <w:bCs/>
          <w:color w:val="000000"/>
          <w:kern w:val="0"/>
          <w:sz w:val="28"/>
          <w:szCs w:val="28"/>
        </w:rPr>
      </w:pPr>
      <w:r>
        <w:rPr>
          <w:rFonts w:hint="eastAsia" w:ascii="仿宋" w:hAnsi="仿宋" w:eastAsia="仿宋" w:cs="仿宋"/>
          <w:bCs/>
          <w:color w:val="000000"/>
          <w:kern w:val="0"/>
          <w:sz w:val="28"/>
          <w:szCs w:val="28"/>
        </w:rPr>
        <w:t>（1）课程思政的目标和内容不能完全落实未来工程师培养要求，思政教育资源的挖掘存在“两张皮”“贴标签”的现象。</w:t>
      </w:r>
    </w:p>
    <w:p>
      <w:pPr>
        <w:spacing w:line="360" w:lineRule="auto"/>
        <w:ind w:firstLine="560" w:firstLineChars="200"/>
        <w:rPr>
          <w:rFonts w:ascii="仿宋" w:hAnsi="仿宋" w:eastAsia="仿宋" w:cs="仿宋"/>
          <w:bCs/>
          <w:color w:val="000000"/>
          <w:kern w:val="0"/>
          <w:sz w:val="28"/>
          <w:szCs w:val="28"/>
        </w:rPr>
      </w:pPr>
      <w:r>
        <w:rPr>
          <w:rFonts w:hint="eastAsia" w:ascii="仿宋" w:hAnsi="仿宋" w:eastAsia="仿宋" w:cs="仿宋"/>
          <w:bCs/>
          <w:color w:val="000000"/>
          <w:kern w:val="0"/>
          <w:sz w:val="28"/>
          <w:szCs w:val="28"/>
        </w:rPr>
        <w:t>（2）课程思政的路径方法未能彰显产教融合、校企协同育人的特色，在同类高校中没有充分发挥示范引领作用。</w:t>
      </w:r>
    </w:p>
    <w:p>
      <w:pPr>
        <w:spacing w:line="360" w:lineRule="auto"/>
        <w:ind w:firstLine="560" w:firstLineChars="200"/>
        <w:rPr>
          <w:rFonts w:ascii="仿宋" w:hAnsi="仿宋" w:eastAsia="仿宋" w:cs="仿宋"/>
          <w:bCs/>
          <w:color w:val="000000"/>
          <w:kern w:val="0"/>
          <w:sz w:val="28"/>
          <w:szCs w:val="28"/>
        </w:rPr>
      </w:pPr>
      <w:r>
        <w:rPr>
          <w:rFonts w:hint="eastAsia" w:ascii="仿宋" w:hAnsi="仿宋" w:eastAsia="仿宋" w:cs="仿宋"/>
          <w:bCs/>
          <w:color w:val="000000"/>
          <w:kern w:val="0"/>
          <w:sz w:val="28"/>
          <w:szCs w:val="28"/>
        </w:rPr>
        <w:t>（3）课程思政的评价激励没有完全体现“学生中心”和“增值评价”，距离高质量课程思政建设的科学性和实效性要求还有差距。</w:t>
      </w:r>
    </w:p>
    <w:p>
      <w:pPr>
        <w:spacing w:line="360" w:lineRule="auto"/>
        <w:ind w:firstLine="560" w:firstLineChars="200"/>
        <w:rPr>
          <w:rFonts w:ascii="仿宋" w:hAnsi="仿宋" w:eastAsia="仿宋" w:cs="仿宋"/>
          <w:bCs/>
          <w:color w:val="000000"/>
          <w:kern w:val="0"/>
          <w:sz w:val="28"/>
          <w:szCs w:val="28"/>
        </w:rPr>
      </w:pPr>
      <w:r>
        <w:rPr>
          <w:rFonts w:hint="eastAsia" w:ascii="仿宋" w:hAnsi="仿宋" w:eastAsia="仿宋" w:cs="仿宋"/>
          <w:bCs/>
          <w:color w:val="000000"/>
          <w:kern w:val="0"/>
          <w:sz w:val="28"/>
          <w:szCs w:val="28"/>
        </w:rPr>
        <w:t>3.主要举措</w:t>
      </w:r>
    </w:p>
    <w:p>
      <w:pPr>
        <w:spacing w:line="360" w:lineRule="auto"/>
        <w:ind w:firstLine="560" w:firstLineChars="200"/>
        <w:rPr>
          <w:rFonts w:ascii="仿宋" w:hAnsi="仿宋" w:eastAsia="仿宋" w:cs="仿宋"/>
          <w:bCs/>
          <w:color w:val="000000"/>
          <w:kern w:val="0"/>
          <w:sz w:val="28"/>
          <w:szCs w:val="28"/>
        </w:rPr>
      </w:pPr>
      <w:r>
        <w:rPr>
          <w:rFonts w:hint="eastAsia" w:ascii="仿宋" w:hAnsi="仿宋" w:eastAsia="仿宋" w:cs="仿宋"/>
          <w:bCs/>
          <w:color w:val="000000"/>
          <w:kern w:val="0"/>
          <w:sz w:val="28"/>
          <w:szCs w:val="28"/>
        </w:rPr>
        <w:t>（1）抓专业，建设3个课程思政分中心</w:t>
      </w:r>
    </w:p>
    <w:p>
      <w:pPr>
        <w:spacing w:line="360" w:lineRule="auto"/>
        <w:ind w:firstLine="560" w:firstLineChars="200"/>
        <w:rPr>
          <w:rFonts w:ascii="仿宋" w:hAnsi="仿宋" w:eastAsia="仿宋" w:cs="仿宋"/>
          <w:bCs/>
          <w:color w:val="000000"/>
          <w:kern w:val="0"/>
          <w:sz w:val="28"/>
          <w:szCs w:val="28"/>
        </w:rPr>
      </w:pPr>
      <w:r>
        <w:rPr>
          <w:rFonts w:hint="eastAsia" w:ascii="仿宋" w:hAnsi="仿宋" w:eastAsia="仿宋" w:cs="仿宋"/>
          <w:bCs/>
          <w:color w:val="000000"/>
          <w:kern w:val="0"/>
          <w:sz w:val="28"/>
          <w:szCs w:val="28"/>
        </w:rPr>
        <w:t>依托3大特色学科专业群建设3个分中心。在每个分中心落实“1+1+1+X”（召开1次高水平论坛、形成1套技术规范、出版1部特色性教材、打造若干门标杆课程）任务，评选课程思政示范专业。</w:t>
      </w:r>
    </w:p>
    <w:p>
      <w:pPr>
        <w:spacing w:line="360" w:lineRule="auto"/>
        <w:ind w:firstLine="560" w:firstLineChars="200"/>
        <w:rPr>
          <w:rFonts w:ascii="仿宋" w:hAnsi="仿宋" w:eastAsia="仿宋" w:cs="仿宋"/>
          <w:bCs/>
          <w:color w:val="000000"/>
          <w:kern w:val="0"/>
          <w:sz w:val="28"/>
          <w:szCs w:val="28"/>
        </w:rPr>
      </w:pPr>
      <w:r>
        <w:rPr>
          <w:rFonts w:hint="eastAsia" w:ascii="仿宋" w:hAnsi="仿宋" w:eastAsia="仿宋" w:cs="仿宋"/>
          <w:bCs/>
          <w:color w:val="000000"/>
          <w:kern w:val="0"/>
          <w:sz w:val="28"/>
          <w:szCs w:val="28"/>
        </w:rPr>
        <w:t>（2）抓课程，完善领航课程体系</w:t>
      </w:r>
    </w:p>
    <w:p>
      <w:pPr>
        <w:spacing w:line="360" w:lineRule="auto"/>
        <w:ind w:firstLine="560" w:firstLineChars="200"/>
        <w:rPr>
          <w:rFonts w:ascii="仿宋" w:hAnsi="仿宋" w:eastAsia="仿宋" w:cs="仿宋"/>
          <w:bCs/>
          <w:color w:val="000000"/>
          <w:kern w:val="0"/>
          <w:sz w:val="28"/>
          <w:szCs w:val="28"/>
        </w:rPr>
      </w:pPr>
      <w:r>
        <w:rPr>
          <w:rFonts w:hint="eastAsia" w:ascii="仿宋" w:hAnsi="仿宋" w:eastAsia="仿宋" w:cs="仿宋"/>
          <w:bCs/>
          <w:color w:val="000000"/>
          <w:kern w:val="0"/>
          <w:sz w:val="28"/>
          <w:szCs w:val="28"/>
        </w:rPr>
        <w:t>重点建设一批“知行合一、敢闯会创”的实践类课程、校企合作课程（实验）和创新创业类课程。建设300门领航课程，总数达到全校课程的15%以上。建设强化课程思政要求的工程教育案例库和特色教材。</w:t>
      </w:r>
    </w:p>
    <w:p>
      <w:pPr>
        <w:spacing w:line="360" w:lineRule="auto"/>
        <w:ind w:firstLine="560" w:firstLineChars="200"/>
        <w:rPr>
          <w:rFonts w:ascii="仿宋" w:hAnsi="仿宋" w:eastAsia="仿宋" w:cs="仿宋"/>
          <w:bCs/>
          <w:color w:val="000000"/>
          <w:kern w:val="0"/>
          <w:sz w:val="28"/>
          <w:szCs w:val="28"/>
        </w:rPr>
      </w:pPr>
      <w:r>
        <w:rPr>
          <w:rFonts w:hint="eastAsia" w:ascii="仿宋" w:hAnsi="仿宋" w:eastAsia="仿宋" w:cs="仿宋"/>
          <w:bCs/>
          <w:color w:val="000000"/>
          <w:kern w:val="0"/>
          <w:sz w:val="28"/>
          <w:szCs w:val="28"/>
        </w:rPr>
        <w:t>（3）抓教学，组织专题教学研究</w:t>
      </w:r>
    </w:p>
    <w:p>
      <w:pPr>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加强马院与专业学院之间、一二课堂之间、本科与研究生之间的协同教学。</w:t>
      </w:r>
      <w:r>
        <w:rPr>
          <w:rFonts w:hint="eastAsia" w:ascii="仿宋" w:hAnsi="仿宋" w:eastAsia="仿宋" w:cs="仿宋"/>
          <w:color w:val="000000"/>
          <w:sz w:val="28"/>
          <w:szCs w:val="28"/>
        </w:rPr>
        <w:t>优化“说-做-评-改”的全流程课程教学管理制度，</w:t>
      </w:r>
      <w:r>
        <w:rPr>
          <w:rFonts w:hint="eastAsia" w:ascii="仿宋" w:hAnsi="仿宋" w:eastAsia="仿宋" w:cs="仿宋"/>
          <w:color w:val="000000"/>
          <w:kern w:val="0"/>
          <w:sz w:val="28"/>
          <w:szCs w:val="28"/>
        </w:rPr>
        <w:t>强化基层教学组织建设。</w:t>
      </w:r>
    </w:p>
    <w:p>
      <w:pPr>
        <w:spacing w:line="360" w:lineRule="auto"/>
        <w:ind w:firstLine="560" w:firstLineChars="200"/>
        <w:rPr>
          <w:rFonts w:ascii="仿宋" w:hAnsi="仿宋" w:eastAsia="仿宋" w:cs="仿宋"/>
          <w:bCs/>
          <w:color w:val="000000"/>
          <w:kern w:val="0"/>
          <w:sz w:val="28"/>
          <w:szCs w:val="28"/>
        </w:rPr>
      </w:pPr>
      <w:r>
        <w:rPr>
          <w:rFonts w:hint="eastAsia" w:ascii="仿宋" w:hAnsi="仿宋" w:eastAsia="仿宋" w:cs="仿宋"/>
          <w:bCs/>
          <w:color w:val="000000"/>
          <w:kern w:val="0"/>
          <w:sz w:val="28"/>
          <w:szCs w:val="28"/>
        </w:rPr>
        <w:t>（4）抓教师，完善教师培训体系</w:t>
      </w:r>
    </w:p>
    <w:p>
      <w:pPr>
        <w:spacing w:line="360" w:lineRule="auto"/>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建设思政教师、专业教师、辅导员和企业教师共同组建的教学团队；每年专题立项25项研究课题，实施年均1000人次以上的培训。</w:t>
      </w:r>
    </w:p>
    <w:p>
      <w:pPr>
        <w:spacing w:line="360" w:lineRule="auto"/>
        <w:ind w:firstLine="560" w:firstLineChars="200"/>
        <w:rPr>
          <w:rFonts w:ascii="仿宋" w:hAnsi="仿宋" w:eastAsia="仿宋" w:cs="仿宋"/>
          <w:bCs/>
          <w:color w:val="000000"/>
          <w:kern w:val="0"/>
          <w:sz w:val="28"/>
          <w:szCs w:val="28"/>
        </w:rPr>
      </w:pPr>
      <w:r>
        <w:rPr>
          <w:rFonts w:hint="eastAsia" w:ascii="仿宋" w:hAnsi="仿宋" w:eastAsia="仿宋" w:cs="仿宋"/>
          <w:bCs/>
          <w:color w:val="000000"/>
          <w:kern w:val="0"/>
          <w:sz w:val="28"/>
          <w:szCs w:val="28"/>
        </w:rPr>
        <w:t>（5）抓引领，</w:t>
      </w:r>
      <w:r>
        <w:rPr>
          <w:rFonts w:hint="eastAsia" w:ascii="仿宋" w:hAnsi="仿宋" w:eastAsia="仿宋" w:cs="仿宋"/>
          <w:color w:val="000000"/>
          <w:kern w:val="0"/>
          <w:sz w:val="28"/>
          <w:szCs w:val="28"/>
        </w:rPr>
        <w:t>遴选培育有影响力的特色示范项目</w:t>
      </w:r>
    </w:p>
    <w:p>
      <w:pPr>
        <w:spacing w:line="360" w:lineRule="auto"/>
        <w:ind w:firstLine="560" w:firstLineChars="200"/>
        <w:rPr>
          <w:rFonts w:ascii="仿宋" w:hAnsi="仿宋" w:eastAsia="仿宋" w:cs="仿宋"/>
          <w:bCs/>
          <w:color w:val="000000"/>
          <w:kern w:val="0"/>
          <w:sz w:val="28"/>
          <w:szCs w:val="28"/>
        </w:rPr>
      </w:pPr>
      <w:r>
        <w:rPr>
          <w:rFonts w:hint="eastAsia" w:ascii="仿宋" w:hAnsi="仿宋" w:eastAsia="仿宋"/>
          <w:color w:val="000000"/>
          <w:sz w:val="28"/>
          <w:szCs w:val="28"/>
        </w:rPr>
        <w:t>基于卓越绩效模型完善评价体系</w:t>
      </w:r>
      <w:r>
        <w:rPr>
          <w:rFonts w:hint="eastAsia" w:ascii="仿宋" w:hAnsi="仿宋" w:eastAsia="仿宋" w:cs="仿宋"/>
          <w:color w:val="000000"/>
          <w:kern w:val="0"/>
          <w:sz w:val="28"/>
          <w:szCs w:val="28"/>
        </w:rPr>
        <w:t>。牵头组建课程思政线上教学资源库，</w:t>
      </w:r>
      <w:r>
        <w:rPr>
          <w:rFonts w:hint="eastAsia" w:ascii="仿宋" w:hAnsi="仿宋" w:eastAsia="仿宋" w:cs="仿宋"/>
          <w:bCs/>
          <w:color w:val="000000"/>
          <w:kern w:val="0"/>
          <w:sz w:val="28"/>
          <w:szCs w:val="28"/>
        </w:rPr>
        <w:t>建设成果向上海市内外同类高校辐射。</w:t>
      </w:r>
    </w:p>
    <w:p>
      <w:pPr>
        <w:pStyle w:val="19"/>
        <w:spacing w:line="360" w:lineRule="auto"/>
        <w:ind w:left="480" w:firstLine="0" w:firstLineChars="0"/>
        <w:rPr>
          <w:rFonts w:ascii="仿宋" w:hAnsi="仿宋" w:eastAsia="仿宋" w:cs="仿宋"/>
          <w:bCs/>
          <w:color w:val="000000"/>
          <w:kern w:val="0"/>
          <w:sz w:val="28"/>
          <w:szCs w:val="28"/>
        </w:rPr>
      </w:pPr>
      <w:r>
        <w:rPr>
          <w:rFonts w:hint="eastAsia" w:ascii="仿宋" w:hAnsi="仿宋" w:eastAsia="仿宋" w:cs="仿宋"/>
          <w:bCs/>
          <w:color w:val="000000"/>
          <w:kern w:val="0"/>
          <w:sz w:val="28"/>
          <w:szCs w:val="28"/>
        </w:rPr>
        <w:t>3.支持保障措施</w:t>
      </w:r>
    </w:p>
    <w:p>
      <w:pPr>
        <w:spacing w:line="360" w:lineRule="auto"/>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s="仿宋"/>
          <w:color w:val="000000"/>
          <w:kern w:val="0"/>
          <w:sz w:val="28"/>
          <w:szCs w:val="28"/>
        </w:rPr>
        <w:t>学校是上海市地方高水平建设高校，也是上海市课程思政整体改革领航校，每年划拨专项经费150万元左右用于中心建设。学校已制定了课程思政“十四五”专项规划，将继续在政策、经费等方面加大支持保障力度。继续构建多维度的评价激励体系强化课程思政在地方高水平应用型高校建设中的地位，以迎接教学评估、学科评估为契机，纳入学科专业建设和校内评优奖励的指标体系。</w:t>
      </w: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09238981"/>
    </w:sdtPr>
    <w:sdtContent>
      <w:p>
        <w:pPr>
          <w:pStyle w:val="6"/>
          <w:jc w:val="center"/>
        </w:pPr>
        <w:r>
          <w:fldChar w:fldCharType="begin"/>
        </w:r>
        <w:r>
          <w:instrText xml:space="preserve">PAGE   \* MERGEFORMAT</w:instrText>
        </w:r>
        <w:r>
          <w:fldChar w:fldCharType="separate"/>
        </w:r>
        <w:r>
          <w:rPr>
            <w:lang w:val="zh-CN"/>
          </w:rPr>
          <w:t>2</w:t>
        </w:r>
        <w:r>
          <w:fldChar w:fldCharType="end"/>
        </w:r>
      </w:p>
    </w:sdtContent>
  </w:sdt>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E1ZGQ5MWU4ZTQ3MTY5ZWQyOTMwNWMxMTc1M2E0YjEifQ=="/>
  </w:docVars>
  <w:rsids>
    <w:rsidRoot w:val="00C4299A"/>
    <w:rsid w:val="00011334"/>
    <w:rsid w:val="00026781"/>
    <w:rsid w:val="00054507"/>
    <w:rsid w:val="00055E14"/>
    <w:rsid w:val="00057890"/>
    <w:rsid w:val="00064F79"/>
    <w:rsid w:val="00092080"/>
    <w:rsid w:val="000C3A44"/>
    <w:rsid w:val="000C401E"/>
    <w:rsid w:val="000F4AA4"/>
    <w:rsid w:val="001104F6"/>
    <w:rsid w:val="00126A0C"/>
    <w:rsid w:val="00142A2B"/>
    <w:rsid w:val="00155495"/>
    <w:rsid w:val="001A3537"/>
    <w:rsid w:val="001C586B"/>
    <w:rsid w:val="001D6CAF"/>
    <w:rsid w:val="001E24CA"/>
    <w:rsid w:val="001E7433"/>
    <w:rsid w:val="00202615"/>
    <w:rsid w:val="00210D4F"/>
    <w:rsid w:val="00212949"/>
    <w:rsid w:val="00221445"/>
    <w:rsid w:val="002237B7"/>
    <w:rsid w:val="002324A6"/>
    <w:rsid w:val="00241830"/>
    <w:rsid w:val="00252FF1"/>
    <w:rsid w:val="002718B9"/>
    <w:rsid w:val="00271E43"/>
    <w:rsid w:val="002B16E9"/>
    <w:rsid w:val="002F2643"/>
    <w:rsid w:val="00311AF2"/>
    <w:rsid w:val="00332322"/>
    <w:rsid w:val="00343200"/>
    <w:rsid w:val="00343B70"/>
    <w:rsid w:val="003613BB"/>
    <w:rsid w:val="0036417F"/>
    <w:rsid w:val="00382BC5"/>
    <w:rsid w:val="003917E7"/>
    <w:rsid w:val="00393AF2"/>
    <w:rsid w:val="003B3F4C"/>
    <w:rsid w:val="003B457C"/>
    <w:rsid w:val="003C150C"/>
    <w:rsid w:val="003D3DD9"/>
    <w:rsid w:val="003E234C"/>
    <w:rsid w:val="003E69D3"/>
    <w:rsid w:val="003F5E46"/>
    <w:rsid w:val="00416322"/>
    <w:rsid w:val="00443326"/>
    <w:rsid w:val="00462096"/>
    <w:rsid w:val="0046240D"/>
    <w:rsid w:val="00474AFE"/>
    <w:rsid w:val="004A02DB"/>
    <w:rsid w:val="004A6D0D"/>
    <w:rsid w:val="004C26FF"/>
    <w:rsid w:val="004D204C"/>
    <w:rsid w:val="004F3DDF"/>
    <w:rsid w:val="00514AF0"/>
    <w:rsid w:val="005237A0"/>
    <w:rsid w:val="00556D16"/>
    <w:rsid w:val="0058706F"/>
    <w:rsid w:val="005873B7"/>
    <w:rsid w:val="00595590"/>
    <w:rsid w:val="005B3168"/>
    <w:rsid w:val="005E1AC8"/>
    <w:rsid w:val="005E75D4"/>
    <w:rsid w:val="00620D29"/>
    <w:rsid w:val="0065779E"/>
    <w:rsid w:val="006B05B4"/>
    <w:rsid w:val="006E1941"/>
    <w:rsid w:val="007206BA"/>
    <w:rsid w:val="00725A47"/>
    <w:rsid w:val="0073306C"/>
    <w:rsid w:val="00741F8E"/>
    <w:rsid w:val="00754EE9"/>
    <w:rsid w:val="00794266"/>
    <w:rsid w:val="007A5BAA"/>
    <w:rsid w:val="007B04F0"/>
    <w:rsid w:val="007F600D"/>
    <w:rsid w:val="00804F31"/>
    <w:rsid w:val="00837EFA"/>
    <w:rsid w:val="00894BDC"/>
    <w:rsid w:val="008A0979"/>
    <w:rsid w:val="008D4918"/>
    <w:rsid w:val="008E0A18"/>
    <w:rsid w:val="008E12F0"/>
    <w:rsid w:val="0093349D"/>
    <w:rsid w:val="009576AE"/>
    <w:rsid w:val="00966269"/>
    <w:rsid w:val="00990F9E"/>
    <w:rsid w:val="009C6575"/>
    <w:rsid w:val="00A05EE0"/>
    <w:rsid w:val="00A07E0B"/>
    <w:rsid w:val="00A20EC0"/>
    <w:rsid w:val="00A278A9"/>
    <w:rsid w:val="00A330AD"/>
    <w:rsid w:val="00A47540"/>
    <w:rsid w:val="00A66F2F"/>
    <w:rsid w:val="00AA5B45"/>
    <w:rsid w:val="00AE2F21"/>
    <w:rsid w:val="00B01F2D"/>
    <w:rsid w:val="00B0329A"/>
    <w:rsid w:val="00B47A4B"/>
    <w:rsid w:val="00B85893"/>
    <w:rsid w:val="00BA51C4"/>
    <w:rsid w:val="00BD6623"/>
    <w:rsid w:val="00C01CF6"/>
    <w:rsid w:val="00C11D62"/>
    <w:rsid w:val="00C41CA5"/>
    <w:rsid w:val="00C4299A"/>
    <w:rsid w:val="00C44576"/>
    <w:rsid w:val="00C4588C"/>
    <w:rsid w:val="00C53C27"/>
    <w:rsid w:val="00C81A2D"/>
    <w:rsid w:val="00CB23F7"/>
    <w:rsid w:val="00CE07FC"/>
    <w:rsid w:val="00D04172"/>
    <w:rsid w:val="00D07487"/>
    <w:rsid w:val="00D102A4"/>
    <w:rsid w:val="00D17CDC"/>
    <w:rsid w:val="00D22AF1"/>
    <w:rsid w:val="00D321FF"/>
    <w:rsid w:val="00D76A98"/>
    <w:rsid w:val="00DA37BD"/>
    <w:rsid w:val="00DB7BD5"/>
    <w:rsid w:val="00DC6609"/>
    <w:rsid w:val="00DE6148"/>
    <w:rsid w:val="00DF4AB1"/>
    <w:rsid w:val="00E07665"/>
    <w:rsid w:val="00E21A62"/>
    <w:rsid w:val="00E43AED"/>
    <w:rsid w:val="00E72B39"/>
    <w:rsid w:val="00E75058"/>
    <w:rsid w:val="00E85823"/>
    <w:rsid w:val="00E870BB"/>
    <w:rsid w:val="00EB0FCE"/>
    <w:rsid w:val="00EE181A"/>
    <w:rsid w:val="00EE7562"/>
    <w:rsid w:val="00F203AE"/>
    <w:rsid w:val="00F26A11"/>
    <w:rsid w:val="00F36041"/>
    <w:rsid w:val="00F77A30"/>
    <w:rsid w:val="00F94562"/>
    <w:rsid w:val="00FA65C6"/>
    <w:rsid w:val="00FC3FCB"/>
    <w:rsid w:val="00FD62E4"/>
    <w:rsid w:val="00FF4758"/>
    <w:rsid w:val="00FF708D"/>
    <w:rsid w:val="06FA1B2E"/>
    <w:rsid w:val="17FF56E8"/>
    <w:rsid w:val="18633DCD"/>
    <w:rsid w:val="1B5D10E5"/>
    <w:rsid w:val="1FA17D36"/>
    <w:rsid w:val="25BB508A"/>
    <w:rsid w:val="2B9C7766"/>
    <w:rsid w:val="3B017FD2"/>
    <w:rsid w:val="3F3328BD"/>
    <w:rsid w:val="47411DEA"/>
    <w:rsid w:val="48A133F2"/>
    <w:rsid w:val="4D9F516B"/>
    <w:rsid w:val="59BE52A5"/>
    <w:rsid w:val="5C132D32"/>
    <w:rsid w:val="5C70761C"/>
    <w:rsid w:val="5EA546FA"/>
    <w:rsid w:val="6AA80375"/>
    <w:rsid w:val="764A29C8"/>
    <w:rsid w:val="77202E2C"/>
    <w:rsid w:val="7855041C"/>
    <w:rsid w:val="7E641D6A"/>
    <w:rsid w:val="7EFB1B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5"/>
    <w:basedOn w:val="1"/>
    <w:next w:val="1"/>
    <w:link w:val="26"/>
    <w:semiHidden/>
    <w:unhideWhenUsed/>
    <w:qFormat/>
    <w:uiPriority w:val="9"/>
    <w:pPr>
      <w:keepNext/>
      <w:keepLines/>
      <w:spacing w:before="280" w:after="290" w:line="376" w:lineRule="auto"/>
      <w:outlineLvl w:val="4"/>
    </w:pPr>
    <w:rPr>
      <w:b/>
      <w:bCs/>
      <w:sz w:val="28"/>
      <w:szCs w:val="28"/>
    </w:rPr>
  </w:style>
  <w:style w:type="character" w:default="1" w:styleId="13">
    <w:name w:val="Default Paragraph Font"/>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1"/>
    <w:rPr>
      <w:rFonts w:ascii="仿宋" w:hAnsi="仿宋" w:eastAsia="仿宋" w:cs="仿宋"/>
      <w:sz w:val="28"/>
      <w:szCs w:val="28"/>
      <w:lang w:val="zh-CN" w:bidi="zh-CN"/>
    </w:rPr>
  </w:style>
  <w:style w:type="paragraph" w:styleId="5">
    <w:name w:val="Balloon Text"/>
    <w:basedOn w:val="1"/>
    <w:link w:val="18"/>
    <w:semiHidden/>
    <w:unhideWhenUsed/>
    <w:qFormat/>
    <w:uiPriority w:val="99"/>
    <w:rPr>
      <w:sz w:val="18"/>
      <w:szCs w:val="18"/>
    </w:rPr>
  </w:style>
  <w:style w:type="paragraph" w:styleId="6">
    <w:name w:val="footer"/>
    <w:basedOn w:val="1"/>
    <w:link w:val="25"/>
    <w:unhideWhenUsed/>
    <w:qFormat/>
    <w:uiPriority w:val="99"/>
    <w:pPr>
      <w:tabs>
        <w:tab w:val="center" w:pos="4153"/>
        <w:tab w:val="right" w:pos="8306"/>
      </w:tabs>
      <w:snapToGrid w:val="0"/>
      <w:jc w:val="left"/>
    </w:pPr>
    <w:rPr>
      <w:sz w:val="18"/>
      <w:szCs w:val="18"/>
    </w:rPr>
  </w:style>
  <w:style w:type="paragraph" w:styleId="7">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tabs>
        <w:tab w:val="right" w:leader="dot" w:pos="8296"/>
      </w:tabs>
      <w:spacing w:line="288" w:lineRule="auto"/>
      <w:jc w:val="center"/>
    </w:pPr>
    <w:rPr>
      <w:color w:val="000000" w:themeColor="text1"/>
      <w:sz w:val="24"/>
      <w:szCs w:val="24"/>
      <w14:textFill>
        <w14:solidFill>
          <w14:schemeClr w14:val="tx1"/>
        </w14:solidFill>
      </w14:textFill>
    </w:rPr>
  </w:style>
  <w:style w:type="paragraph" w:styleId="9">
    <w:name w:val="toc 2"/>
    <w:basedOn w:val="1"/>
    <w:next w:val="1"/>
    <w:unhideWhenUsed/>
    <w:qFormat/>
    <w:uiPriority w:val="39"/>
    <w:pPr>
      <w:ind w:left="420" w:leftChars="200"/>
    </w:pPr>
  </w:style>
  <w:style w:type="paragraph" w:styleId="10">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22"/>
    <w:rPr>
      <w:b/>
      <w:bCs/>
    </w:rPr>
  </w:style>
  <w:style w:type="character" w:styleId="15">
    <w:name w:val="FollowedHyperlink"/>
    <w:basedOn w:val="13"/>
    <w:semiHidden/>
    <w:unhideWhenUsed/>
    <w:qFormat/>
    <w:uiPriority w:val="99"/>
    <w:rPr>
      <w:color w:val="954F72"/>
      <w:u w:val="single"/>
    </w:rPr>
  </w:style>
  <w:style w:type="character" w:styleId="16">
    <w:name w:val="Hyperlink"/>
    <w:basedOn w:val="13"/>
    <w:unhideWhenUsed/>
    <w:qFormat/>
    <w:uiPriority w:val="99"/>
    <w:rPr>
      <w:color w:val="0000FF" w:themeColor="hyperlink"/>
      <w:u w:val="single"/>
      <w14:textFill>
        <w14:solidFill>
          <w14:schemeClr w14:val="hlink"/>
        </w14:solidFill>
      </w14:textFill>
    </w:rPr>
  </w:style>
  <w:style w:type="character" w:customStyle="1" w:styleId="17">
    <w:name w:val="标题 1 Char"/>
    <w:basedOn w:val="13"/>
    <w:link w:val="2"/>
    <w:qFormat/>
    <w:uiPriority w:val="9"/>
    <w:rPr>
      <w:b/>
      <w:bCs/>
      <w:kern w:val="44"/>
      <w:sz w:val="44"/>
      <w:szCs w:val="44"/>
    </w:rPr>
  </w:style>
  <w:style w:type="character" w:customStyle="1" w:styleId="18">
    <w:name w:val="批注框文本 Char"/>
    <w:basedOn w:val="13"/>
    <w:link w:val="5"/>
    <w:semiHidden/>
    <w:qFormat/>
    <w:uiPriority w:val="99"/>
    <w:rPr>
      <w:sz w:val="18"/>
      <w:szCs w:val="18"/>
    </w:rPr>
  </w:style>
  <w:style w:type="paragraph" w:styleId="19">
    <w:name w:val="List Paragraph"/>
    <w:basedOn w:val="1"/>
    <w:qFormat/>
    <w:uiPriority w:val="0"/>
    <w:pPr>
      <w:ind w:firstLine="420" w:firstLineChars="200"/>
    </w:pPr>
  </w:style>
  <w:style w:type="character" w:customStyle="1" w:styleId="20">
    <w:name w:val="font51"/>
    <w:qFormat/>
    <w:uiPriority w:val="0"/>
    <w:rPr>
      <w:rFonts w:hint="eastAsia" w:ascii="宋体" w:hAnsi="宋体" w:eastAsia="宋体" w:cs="宋体"/>
      <w:color w:val="FF0000"/>
      <w:sz w:val="24"/>
      <w:szCs w:val="24"/>
      <w:u w:val="none"/>
    </w:rPr>
  </w:style>
  <w:style w:type="character" w:customStyle="1" w:styleId="21">
    <w:name w:val="font41"/>
    <w:qFormat/>
    <w:uiPriority w:val="0"/>
    <w:rPr>
      <w:rFonts w:hint="default" w:ascii="Arial" w:hAnsi="Arial" w:cs="Arial"/>
      <w:color w:val="FF0000"/>
      <w:sz w:val="24"/>
      <w:szCs w:val="24"/>
      <w:u w:val="none"/>
    </w:rPr>
  </w:style>
  <w:style w:type="paragraph" w:customStyle="1" w:styleId="22">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23">
    <w:name w:val="NormalCharacter"/>
    <w:semiHidden/>
    <w:qFormat/>
    <w:uiPriority w:val="0"/>
  </w:style>
  <w:style w:type="character" w:customStyle="1" w:styleId="24">
    <w:name w:val="页眉 Char"/>
    <w:basedOn w:val="13"/>
    <w:link w:val="7"/>
    <w:qFormat/>
    <w:uiPriority w:val="99"/>
    <w:rPr>
      <w:sz w:val="18"/>
      <w:szCs w:val="18"/>
    </w:rPr>
  </w:style>
  <w:style w:type="character" w:customStyle="1" w:styleId="25">
    <w:name w:val="页脚 Char"/>
    <w:basedOn w:val="13"/>
    <w:link w:val="6"/>
    <w:qFormat/>
    <w:uiPriority w:val="99"/>
    <w:rPr>
      <w:sz w:val="18"/>
      <w:szCs w:val="18"/>
    </w:rPr>
  </w:style>
  <w:style w:type="character" w:customStyle="1" w:styleId="26">
    <w:name w:val="标题 5 Char"/>
    <w:basedOn w:val="13"/>
    <w:link w:val="3"/>
    <w:semiHidden/>
    <w:qFormat/>
    <w:uiPriority w:val="9"/>
    <w:rPr>
      <w:b/>
      <w:bCs/>
      <w:sz w:val="28"/>
      <w:szCs w:val="28"/>
    </w:rPr>
  </w:style>
  <w:style w:type="character" w:customStyle="1" w:styleId="27">
    <w:name w:val="Unresolved Mention"/>
    <w:basedOn w:val="13"/>
    <w:semiHidden/>
    <w:unhideWhenUsed/>
    <w:qFormat/>
    <w:uiPriority w:val="99"/>
    <w:rPr>
      <w:color w:val="605E5C"/>
      <w:shd w:val="clear" w:color="auto" w:fill="E1DFDD"/>
    </w:rPr>
  </w:style>
  <w:style w:type="character" w:customStyle="1" w:styleId="28">
    <w:name w:val="bjh-p"/>
    <w:basedOn w:val="13"/>
    <w:qFormat/>
    <w:uiPriority w:val="0"/>
  </w:style>
  <w:style w:type="paragraph" w:customStyle="1" w:styleId="29">
    <w:name w:val="普通(网站) Char"/>
    <w:basedOn w:val="1"/>
    <w:qFormat/>
    <w:uiPriority w:val="0"/>
    <w:pPr>
      <w:jc w:val="left"/>
    </w:pPr>
    <w:rPr>
      <w:rFonts w:hint="eastAsia" w:ascii="宋体" w:hAnsi="宋体" w:eastAsia="宋体" w:cs="Times New Roman"/>
      <w:kern w:val="0"/>
      <w:sz w:val="24"/>
      <w:szCs w:val="24"/>
    </w:rPr>
  </w:style>
  <w:style w:type="paragraph" w:customStyle="1" w:styleId="30">
    <w:name w:val="arti-metas"/>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31">
    <w:name w:val="arti-update"/>
    <w:basedOn w:val="13"/>
    <w:qFormat/>
    <w:uiPriority w:val="0"/>
  </w:style>
  <w:style w:type="character" w:customStyle="1" w:styleId="32">
    <w:name w:val="arti-views"/>
    <w:basedOn w:val="13"/>
    <w:qFormat/>
    <w:uiPriority w:val="0"/>
  </w:style>
  <w:style w:type="character" w:customStyle="1" w:styleId="33">
    <w:name w:val="wp_visitcount"/>
    <w:basedOn w:val="13"/>
    <w:qFormat/>
    <w:uiPriority w:val="0"/>
  </w:style>
  <w:style w:type="table" w:customStyle="1" w:styleId="34">
    <w:name w:val="Table Normal"/>
    <w:semiHidden/>
    <w:unhideWhenUsed/>
    <w:qFormat/>
    <w:uiPriority w:val="0"/>
    <w:rPr>
      <w:rFonts w:ascii="Arial" w:hAnsi="Arial" w:cs="Arial"/>
      <w:snapToGrid w:val="0"/>
      <w:color w:val="000000"/>
      <w:szCs w:val="21"/>
    </w:rPr>
    <w:tblPr>
      <w:tblCellMar>
        <w:top w:w="0" w:type="dxa"/>
        <w:left w:w="0" w:type="dxa"/>
        <w:bottom w:w="0" w:type="dxa"/>
        <w:right w:w="0" w:type="dxa"/>
      </w:tblCellMar>
    </w:tblPr>
  </w:style>
  <w:style w:type="character" w:customStyle="1" w:styleId="35">
    <w:name w:val="font21"/>
    <w:basedOn w:val="13"/>
    <w:qFormat/>
    <w:uiPriority w:val="0"/>
    <w:rPr>
      <w:rFonts w:hint="eastAsia" w:ascii="宋体" w:hAnsi="宋体" w:eastAsia="宋体" w:cs="宋体"/>
      <w:color w:val="000000"/>
      <w:sz w:val="22"/>
      <w:szCs w:val="22"/>
      <w:u w:val="none"/>
    </w:rPr>
  </w:style>
  <w:style w:type="character" w:customStyle="1" w:styleId="36">
    <w:name w:val="font71"/>
    <w:basedOn w:val="13"/>
    <w:qFormat/>
    <w:uiPriority w:val="0"/>
    <w:rPr>
      <w:rFonts w:hint="default" w:ascii="Times New Roman" w:hAnsi="Times New Roman" w:cs="Times New Roman"/>
      <w:b/>
      <w:bCs/>
      <w:color w:val="000000"/>
      <w:sz w:val="20"/>
      <w:szCs w:val="20"/>
      <w:u w:val="none"/>
    </w:rPr>
  </w:style>
  <w:style w:type="character" w:customStyle="1" w:styleId="37">
    <w:name w:val="font161"/>
    <w:basedOn w:val="13"/>
    <w:qFormat/>
    <w:uiPriority w:val="0"/>
    <w:rPr>
      <w:rFonts w:hint="eastAsia" w:ascii="宋体" w:hAnsi="宋体" w:eastAsia="宋体" w:cs="宋体"/>
      <w:color w:val="000000"/>
      <w:sz w:val="20"/>
      <w:szCs w:val="20"/>
      <w:u w:val="none"/>
    </w:rPr>
  </w:style>
  <w:style w:type="character" w:customStyle="1" w:styleId="38">
    <w:name w:val="font01"/>
    <w:basedOn w:val="13"/>
    <w:qFormat/>
    <w:uiPriority w:val="0"/>
    <w:rPr>
      <w:rFonts w:hint="default" w:ascii="Times New Roman" w:hAnsi="Times New Roman" w:cs="Times New Roman"/>
      <w:color w:val="000000"/>
      <w:sz w:val="20"/>
      <w:szCs w:val="20"/>
      <w:u w:val="none"/>
    </w:rPr>
  </w:style>
  <w:style w:type="character" w:customStyle="1" w:styleId="39">
    <w:name w:val="font112"/>
    <w:basedOn w:val="13"/>
    <w:qFormat/>
    <w:uiPriority w:val="0"/>
    <w:rPr>
      <w:rFonts w:hint="eastAsia" w:ascii="宋体" w:hAnsi="宋体" w:eastAsia="宋体" w:cs="宋体"/>
      <w:color w:val="000000"/>
      <w:sz w:val="20"/>
      <w:szCs w:val="20"/>
      <w:u w:val="none"/>
    </w:rPr>
  </w:style>
  <w:style w:type="character" w:customStyle="1" w:styleId="40">
    <w:name w:val="font121"/>
    <w:basedOn w:val="13"/>
    <w:qFormat/>
    <w:uiPriority w:val="0"/>
    <w:rPr>
      <w:rFonts w:hint="eastAsia" w:ascii="宋体" w:hAnsi="宋体" w:eastAsia="宋体" w:cs="宋体"/>
      <w:b/>
      <w:bCs/>
      <w:color w:val="000000"/>
      <w:sz w:val="20"/>
      <w:szCs w:val="20"/>
      <w:u w:val="none"/>
    </w:rPr>
  </w:style>
  <w:style w:type="character" w:customStyle="1" w:styleId="41">
    <w:name w:val="font131"/>
    <w:basedOn w:val="13"/>
    <w:qFormat/>
    <w:uiPriority w:val="0"/>
    <w:rPr>
      <w:rFonts w:hint="eastAsia" w:ascii="宋体" w:hAnsi="宋体" w:eastAsia="宋体" w:cs="宋体"/>
      <w:b/>
      <w:bCs/>
      <w:color w:val="000000"/>
      <w:sz w:val="20"/>
      <w:szCs w:val="20"/>
      <w:u w:val="none"/>
    </w:rPr>
  </w:style>
  <w:style w:type="character" w:customStyle="1" w:styleId="42">
    <w:name w:val="font171"/>
    <w:basedOn w:val="13"/>
    <w:qFormat/>
    <w:uiPriority w:val="0"/>
    <w:rPr>
      <w:rFonts w:hint="eastAsia" w:ascii="宋体" w:hAnsi="宋体" w:eastAsia="宋体" w:cs="宋体"/>
      <w:color w:val="333333"/>
      <w:sz w:val="20"/>
      <w:szCs w:val="20"/>
      <w:u w:val="none"/>
    </w:rPr>
  </w:style>
  <w:style w:type="paragraph" w:customStyle="1" w:styleId="43">
    <w:name w:val="Table Paragraph"/>
    <w:basedOn w:val="1"/>
    <w:qFormat/>
    <w:uiPriority w:val="1"/>
    <w:rPr>
      <w:rFonts w:ascii="仿宋" w:hAnsi="仿宋" w:eastAsia="仿宋" w:cs="仿宋"/>
      <w:lang w:val="zh-CN" w:bidi="zh-CN"/>
    </w:rPr>
  </w:style>
  <w:style w:type="paragraph" w:customStyle="1" w:styleId="44">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45">
    <w:name w:val="font6"/>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46">
    <w:name w:val="xl64"/>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47">
    <w:name w:val="xl65"/>
    <w:basedOn w:val="1"/>
    <w:qFormat/>
    <w:uiPriority w:val="0"/>
    <w:pPr>
      <w:widowControl/>
      <w:pBdr>
        <w:top w:val="single" w:color="auto" w:sz="4" w:space="0"/>
        <w:left w:val="single" w:color="auto" w:sz="4" w:space="0"/>
        <w:bottom w:val="single" w:color="auto" w:sz="4" w:space="0"/>
        <w:right w:val="single" w:color="auto" w:sz="4" w:space="0"/>
      </w:pBdr>
      <w:shd w:val="clear" w:color="000000" w:fill="BDD7EE"/>
      <w:spacing w:before="100" w:beforeAutospacing="1" w:after="100" w:afterAutospacing="1"/>
      <w:jc w:val="center"/>
    </w:pPr>
    <w:rPr>
      <w:rFonts w:ascii="微软雅黑" w:hAnsi="微软雅黑" w:eastAsia="微软雅黑" w:cs="宋体"/>
      <w:b/>
      <w:bCs/>
      <w:kern w:val="0"/>
      <w:sz w:val="24"/>
      <w:szCs w:val="24"/>
    </w:rPr>
  </w:style>
  <w:style w:type="paragraph" w:customStyle="1" w:styleId="48">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sz w:val="24"/>
      <w:szCs w:val="24"/>
    </w:rPr>
  </w:style>
  <w:style w:type="paragraph" w:customStyle="1" w:styleId="49">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color w:val="000000"/>
      <w:kern w:val="0"/>
      <w:sz w:val="24"/>
      <w:szCs w:val="24"/>
    </w:rPr>
  </w:style>
  <w:style w:type="paragraph" w:customStyle="1" w:styleId="50">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color w:val="000000"/>
      <w:kern w:val="0"/>
      <w:sz w:val="24"/>
      <w:szCs w:val="24"/>
    </w:rPr>
  </w:style>
  <w:style w:type="character" w:customStyle="1" w:styleId="51">
    <w:name w:val="font101"/>
    <w:basedOn w:val="13"/>
    <w:qFormat/>
    <w:uiPriority w:val="0"/>
    <w:rPr>
      <w:rFonts w:hint="eastAsia" w:ascii="微软雅黑" w:hAnsi="微软雅黑" w:eastAsia="微软雅黑" w:cs="微软雅黑"/>
      <w:color w:val="215DA9"/>
      <w:sz w:val="18"/>
      <w:szCs w:val="18"/>
      <w:u w:val="none"/>
    </w:rPr>
  </w:style>
  <w:style w:type="character" w:customStyle="1" w:styleId="52">
    <w:name w:val="font81"/>
    <w:basedOn w:val="13"/>
    <w:qFormat/>
    <w:uiPriority w:val="0"/>
    <w:rPr>
      <w:rFonts w:hint="eastAsia" w:ascii="微软雅黑" w:hAnsi="微软雅黑" w:eastAsia="微软雅黑" w:cs="微软雅黑"/>
      <w:color w:val="F05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5" Type="http://schemas.openxmlformats.org/officeDocument/2006/relationships/fontTable" Target="fontTable.xml"/><Relationship Id="rId74" Type="http://schemas.openxmlformats.org/officeDocument/2006/relationships/customXml" Target="../customXml/item2.xml"/><Relationship Id="rId73" Type="http://schemas.openxmlformats.org/officeDocument/2006/relationships/customXml" Target="../customXml/item1.xml"/><Relationship Id="rId72" Type="http://schemas.openxmlformats.org/officeDocument/2006/relationships/image" Target="media/image67.jpeg"/><Relationship Id="rId71" Type="http://schemas.openxmlformats.org/officeDocument/2006/relationships/image" Target="media/image66.jpeg"/><Relationship Id="rId70" Type="http://schemas.openxmlformats.org/officeDocument/2006/relationships/image" Target="media/image65.jpeg"/><Relationship Id="rId7" Type="http://schemas.openxmlformats.org/officeDocument/2006/relationships/image" Target="media/image2.png"/><Relationship Id="rId69" Type="http://schemas.openxmlformats.org/officeDocument/2006/relationships/image" Target="media/image64.jpeg"/><Relationship Id="rId68" Type="http://schemas.openxmlformats.org/officeDocument/2006/relationships/image" Target="media/image63.jpeg"/><Relationship Id="rId67" Type="http://schemas.openxmlformats.org/officeDocument/2006/relationships/image" Target="media/image62.jpeg"/><Relationship Id="rId66" Type="http://schemas.openxmlformats.org/officeDocument/2006/relationships/image" Target="media/image61.jpeg"/><Relationship Id="rId65" Type="http://schemas.openxmlformats.org/officeDocument/2006/relationships/image" Target="media/image60.jpeg"/><Relationship Id="rId64" Type="http://schemas.openxmlformats.org/officeDocument/2006/relationships/image" Target="media/image59.jpeg"/><Relationship Id="rId63" Type="http://schemas.openxmlformats.org/officeDocument/2006/relationships/image" Target="media/image58.jpeg"/><Relationship Id="rId62" Type="http://schemas.openxmlformats.org/officeDocument/2006/relationships/image" Target="media/image57.jpeg"/><Relationship Id="rId61" Type="http://schemas.openxmlformats.org/officeDocument/2006/relationships/image" Target="media/image56.jpeg"/><Relationship Id="rId60" Type="http://schemas.openxmlformats.org/officeDocument/2006/relationships/image" Target="media/image55.jpeg"/><Relationship Id="rId6" Type="http://schemas.openxmlformats.org/officeDocument/2006/relationships/image" Target="media/image1.png"/><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2.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AADDEC-F5F7-47C4-9575-183D9C95EC64}">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178</Pages>
  <Words>82987</Words>
  <Characters>85096</Characters>
  <Lines>643</Lines>
  <Paragraphs>181</Paragraphs>
  <TotalTime>0</TotalTime>
  <ScaleCrop>false</ScaleCrop>
  <LinksUpToDate>false</LinksUpToDate>
  <CharactersWithSpaces>85970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2023-04-06T07:50:00Z</dcterms:created>
  <dc:creator>微软用户</dc:creator>
  <cp:lastModifiedBy>朱敏</cp:lastModifiedBy>
  <cp:lastPrinted>2022-12-20T10:47:00Z</cp:lastPrinted>
  <dcterms:modified xsi:type="dcterms:W3CDTF">2023-08-21T08:20:03Z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12B2751A37C240A39C1CB55644F8BA2C_13</vt:lpwstr>
  </property>
</Properties>
</file>